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337A7F" w14:textId="77777777" w:rsidR="00E90E49" w:rsidRPr="00553B28" w:rsidRDefault="00E90E49" w:rsidP="00E35559">
      <w:pPr>
        <w:pStyle w:val="3GPPHeader"/>
        <w:spacing w:after="60"/>
        <w:rPr>
          <w:sz w:val="32"/>
          <w:szCs w:val="32"/>
          <w:highlight w:val="yellow"/>
          <w:lang w:val="de-DE"/>
        </w:rPr>
      </w:pPr>
      <w:r w:rsidRPr="00553B28">
        <w:rPr>
          <w:lang w:val="de-DE"/>
        </w:rPr>
        <w:t>3GPP TSG-RAN WG</w:t>
      </w:r>
      <w:r w:rsidR="00012CA8" w:rsidRPr="00553B28">
        <w:rPr>
          <w:lang w:val="de-DE"/>
        </w:rPr>
        <w:t>2</w:t>
      </w:r>
      <w:r w:rsidRPr="00553B28">
        <w:rPr>
          <w:lang w:val="de-DE"/>
        </w:rPr>
        <w:t xml:space="preserve"> #</w:t>
      </w:r>
      <w:r w:rsidR="00012CA8" w:rsidRPr="00553B28">
        <w:rPr>
          <w:lang w:val="de-DE"/>
        </w:rPr>
        <w:t>8</w:t>
      </w:r>
      <w:r w:rsidR="00100F45" w:rsidRPr="00553B28">
        <w:rPr>
          <w:lang w:val="de-DE"/>
        </w:rPr>
        <w:t>9</w:t>
      </w:r>
      <w:r w:rsidR="00266E7F" w:rsidRPr="00553B28">
        <w:rPr>
          <w:lang w:val="de-DE"/>
        </w:rPr>
        <w:t>bis</w:t>
      </w:r>
      <w:r w:rsidRPr="00553B28">
        <w:rPr>
          <w:lang w:val="de-DE"/>
        </w:rPr>
        <w:tab/>
      </w:r>
      <w:r w:rsidR="00D82B16" w:rsidRPr="00553B28">
        <w:rPr>
          <w:sz w:val="32"/>
          <w:lang w:val="de-DE"/>
        </w:rPr>
        <w:t xml:space="preserve">R2-151684 </w:t>
      </w:r>
    </w:p>
    <w:p w14:paraId="7FEF1D6B" w14:textId="77777777" w:rsidR="00266E7F" w:rsidRPr="00553B28" w:rsidRDefault="00266E7F" w:rsidP="00266E7F">
      <w:pPr>
        <w:pStyle w:val="3GPPHeader"/>
        <w:spacing w:after="60"/>
        <w:rPr>
          <w:sz w:val="20"/>
          <w:lang w:val="sv-SE"/>
        </w:rPr>
      </w:pPr>
      <w:r w:rsidRPr="00266E7F">
        <w:rPr>
          <w:lang w:val="sv-SE"/>
        </w:rPr>
        <w:t xml:space="preserve">Bratislava, Slovakia, 20–24 </w:t>
      </w:r>
      <w:proofErr w:type="gramStart"/>
      <w:r w:rsidRPr="00266E7F">
        <w:rPr>
          <w:lang w:val="sv-SE"/>
        </w:rPr>
        <w:t>Apr</w:t>
      </w:r>
      <w:proofErr w:type="gramEnd"/>
      <w:r w:rsidRPr="00266E7F">
        <w:rPr>
          <w:lang w:val="sv-SE"/>
        </w:rPr>
        <w:t xml:space="preserve"> 2015</w:t>
      </w:r>
      <w:r w:rsidR="00D82B16" w:rsidRPr="00553B28">
        <w:rPr>
          <w:sz w:val="32"/>
          <w:szCs w:val="32"/>
          <w:lang w:val="en-US"/>
        </w:rPr>
        <w:t xml:space="preserve"> </w:t>
      </w:r>
      <w:r w:rsidR="00D82B16" w:rsidRPr="00553B28">
        <w:rPr>
          <w:sz w:val="32"/>
          <w:szCs w:val="32"/>
          <w:lang w:val="en-US"/>
        </w:rPr>
        <w:tab/>
      </w:r>
      <w:r w:rsidR="00D82B16" w:rsidRPr="00553B28">
        <w:rPr>
          <w:szCs w:val="32"/>
          <w:lang w:val="en-US"/>
        </w:rPr>
        <w:t>revision of R2-151526</w:t>
      </w:r>
    </w:p>
    <w:p w14:paraId="62BF6D25" w14:textId="77777777" w:rsidR="00E90E49" w:rsidRPr="00CE0424" w:rsidRDefault="00E90E49" w:rsidP="00357380">
      <w:pPr>
        <w:pStyle w:val="3GPPHeader"/>
      </w:pPr>
      <w:bookmarkStart w:id="0" w:name="_GoBack"/>
      <w:bookmarkEnd w:id="0"/>
    </w:p>
    <w:p w14:paraId="64CB2252" w14:textId="77777777" w:rsidR="00E90E49" w:rsidRPr="004117A3" w:rsidRDefault="00E90E49" w:rsidP="00311702">
      <w:pPr>
        <w:pStyle w:val="3GPPHeader"/>
        <w:rPr>
          <w:sz w:val="22"/>
          <w:szCs w:val="22"/>
          <w:lang w:val="sv-SE"/>
        </w:rPr>
      </w:pPr>
      <w:r w:rsidRPr="004117A3">
        <w:rPr>
          <w:sz w:val="22"/>
          <w:szCs w:val="22"/>
          <w:lang w:val="sv-SE"/>
        </w:rPr>
        <w:t>Agenda Item:</w:t>
      </w:r>
      <w:r w:rsidRPr="004117A3">
        <w:rPr>
          <w:sz w:val="22"/>
          <w:szCs w:val="22"/>
          <w:lang w:val="sv-SE"/>
        </w:rPr>
        <w:tab/>
      </w:r>
      <w:r w:rsidR="00A27E28">
        <w:rPr>
          <w:sz w:val="22"/>
          <w:szCs w:val="22"/>
          <w:lang w:val="sv-SE"/>
        </w:rPr>
        <w:t>7.3</w:t>
      </w:r>
      <w:r w:rsidR="001B3D79">
        <w:rPr>
          <w:sz w:val="22"/>
          <w:szCs w:val="22"/>
          <w:lang w:val="sv-SE"/>
        </w:rPr>
        <w:t>.2</w:t>
      </w:r>
    </w:p>
    <w:p w14:paraId="5FF0839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8F650D1" w14:textId="77777777" w:rsidR="00E90E49" w:rsidRPr="00CE0424" w:rsidRDefault="003D3C45" w:rsidP="005A24B9">
      <w:pPr>
        <w:pStyle w:val="3GPPHeader"/>
        <w:ind w:left="1701" w:hanging="1701"/>
        <w:jc w:val="left"/>
        <w:rPr>
          <w:sz w:val="22"/>
          <w:szCs w:val="22"/>
        </w:rPr>
      </w:pPr>
      <w:r>
        <w:rPr>
          <w:sz w:val="22"/>
          <w:szCs w:val="22"/>
        </w:rPr>
        <w:t>Title:</w:t>
      </w:r>
      <w:r w:rsidR="00E90E49" w:rsidRPr="00CE0424">
        <w:rPr>
          <w:sz w:val="22"/>
          <w:szCs w:val="22"/>
        </w:rPr>
        <w:tab/>
      </w:r>
      <w:r w:rsidR="005A24B9">
        <w:rPr>
          <w:sz w:val="22"/>
          <w:szCs w:val="22"/>
        </w:rPr>
        <w:t>I</w:t>
      </w:r>
      <w:r w:rsidR="005A24B9" w:rsidRPr="005A24B9">
        <w:rPr>
          <w:sz w:val="22"/>
          <w:szCs w:val="22"/>
        </w:rPr>
        <w:t>nitial Radio reso</w:t>
      </w:r>
      <w:r w:rsidR="005A24B9">
        <w:rPr>
          <w:sz w:val="22"/>
          <w:szCs w:val="22"/>
        </w:rPr>
        <w:t>urce efficiency evaluation of Single-C</w:t>
      </w:r>
      <w:r w:rsidR="005A24B9" w:rsidRPr="005A24B9">
        <w:rPr>
          <w:sz w:val="22"/>
          <w:szCs w:val="22"/>
        </w:rPr>
        <w:t>ell PTM</w:t>
      </w:r>
    </w:p>
    <w:p w14:paraId="0C87248A" w14:textId="77777777" w:rsidR="00E90E49" w:rsidRPr="00260336" w:rsidRDefault="00E90E49" w:rsidP="00260336">
      <w:pPr>
        <w:pStyle w:val="3GPPHeader"/>
        <w:rPr>
          <w:sz w:val="22"/>
          <w:szCs w:val="22"/>
        </w:rPr>
      </w:pPr>
      <w:r w:rsidRPr="00CE0424">
        <w:rPr>
          <w:sz w:val="22"/>
          <w:szCs w:val="22"/>
        </w:rPr>
        <w:t>Document for:</w:t>
      </w:r>
      <w:r w:rsidRPr="00CE0424">
        <w:rPr>
          <w:sz w:val="22"/>
          <w:szCs w:val="22"/>
        </w:rPr>
        <w:tab/>
      </w:r>
      <w:r w:rsidRPr="0028374C">
        <w:rPr>
          <w:sz w:val="22"/>
          <w:szCs w:val="22"/>
        </w:rPr>
        <w:t>Discussion</w:t>
      </w:r>
    </w:p>
    <w:p w14:paraId="379187F8" w14:textId="77777777" w:rsidR="00E90E49" w:rsidRPr="00CE0424" w:rsidRDefault="00E90E49" w:rsidP="00CE0424">
      <w:pPr>
        <w:pStyle w:val="Heading1"/>
      </w:pPr>
      <w:r w:rsidRPr="00CE0424">
        <w:t>Introduction</w:t>
      </w:r>
    </w:p>
    <w:p w14:paraId="6519F3A8" w14:textId="77777777" w:rsidR="00011CBC" w:rsidRDefault="00AB7127" w:rsidP="00DF34EF">
      <w:pPr>
        <w:pStyle w:val="BodyText"/>
      </w:pPr>
      <w:r>
        <w:t>At R</w:t>
      </w:r>
      <w:r w:rsidR="0028449B">
        <w:t>AN</w:t>
      </w:r>
      <w:r>
        <w:t xml:space="preserve">#66, </w:t>
      </w:r>
      <w:r w:rsidR="0028449B">
        <w:t>a</w:t>
      </w:r>
      <w:r>
        <w:t xml:space="preserve"> new</w:t>
      </w:r>
      <w:r w:rsidR="00010AA3">
        <w:t xml:space="preserve"> </w:t>
      </w:r>
      <w:r w:rsidR="00CB73F9">
        <w:t xml:space="preserve">RAN2 study item </w:t>
      </w:r>
      <w:r>
        <w:t xml:space="preserve">on </w:t>
      </w:r>
      <w:r w:rsidRPr="0020597D">
        <w:rPr>
          <w:lang w:val="en-US"/>
        </w:rPr>
        <w:t>“Support of single-cell point-to-multipoint transmission in LTE”</w:t>
      </w:r>
      <w:r>
        <w:rPr>
          <w:lang w:val="en-US"/>
        </w:rPr>
        <w:t xml:space="preserve"> was agreed </w:t>
      </w:r>
      <w:r w:rsidR="00971AE9">
        <w:rPr>
          <w:lang w:val="en-US"/>
        </w:rPr>
        <w:fldChar w:fldCharType="begin"/>
      </w:r>
      <w:r w:rsidR="00971AE9">
        <w:rPr>
          <w:lang w:val="en-US"/>
        </w:rPr>
        <w:instrText xml:space="preserve"> REF _Ref410401458 \r \h </w:instrText>
      </w:r>
      <w:r w:rsidR="00971AE9">
        <w:rPr>
          <w:lang w:val="en-US"/>
        </w:rPr>
      </w:r>
      <w:r w:rsidR="00971AE9">
        <w:rPr>
          <w:lang w:val="en-US"/>
        </w:rPr>
        <w:fldChar w:fldCharType="separate"/>
      </w:r>
      <w:r w:rsidR="00160645">
        <w:rPr>
          <w:lang w:val="en-US"/>
        </w:rPr>
        <w:t>[1]</w:t>
      </w:r>
      <w:r w:rsidR="00971AE9">
        <w:rPr>
          <w:lang w:val="en-US"/>
        </w:rPr>
        <w:fldChar w:fldCharType="end"/>
      </w:r>
      <w:r>
        <w:t>.</w:t>
      </w:r>
      <w:r w:rsidR="00010AA3">
        <w:t xml:space="preserve"> </w:t>
      </w:r>
      <w:r w:rsidR="003D7763">
        <w:t xml:space="preserve">The focus of the study is to </w:t>
      </w:r>
      <w:r w:rsidR="003D7763" w:rsidRPr="003D7763">
        <w:rPr>
          <w:rFonts w:hint="eastAsia"/>
        </w:rPr>
        <w:t>i</w:t>
      </w:r>
      <w:r w:rsidR="003D7763" w:rsidRPr="003D7763">
        <w:t>nvestigat</w:t>
      </w:r>
      <w:r w:rsidR="003D7763" w:rsidRPr="003D7763">
        <w:rPr>
          <w:rFonts w:hint="eastAsia"/>
        </w:rPr>
        <w:t>e technical solutions</w:t>
      </w:r>
      <w:r w:rsidR="003D7763" w:rsidRPr="003D7763">
        <w:t xml:space="preserve"> </w:t>
      </w:r>
      <w:r w:rsidR="003D7763" w:rsidRPr="003D7763">
        <w:rPr>
          <w:rFonts w:hint="eastAsia"/>
        </w:rPr>
        <w:t xml:space="preserve">for </w:t>
      </w:r>
      <w:r>
        <w:t>s</w:t>
      </w:r>
      <w:r w:rsidR="003D7763" w:rsidRPr="003D7763">
        <w:t>ingle-cell</w:t>
      </w:r>
      <w:r w:rsidR="003D7763" w:rsidRPr="003D7763">
        <w:rPr>
          <w:rFonts w:hint="eastAsia"/>
        </w:rPr>
        <w:t xml:space="preserve"> </w:t>
      </w:r>
      <w:r w:rsidR="004F2F97" w:rsidRPr="0020597D">
        <w:rPr>
          <w:lang w:val="en-US"/>
        </w:rPr>
        <w:t xml:space="preserve">point-to-multipoint </w:t>
      </w:r>
      <w:r w:rsidR="004F2F97">
        <w:rPr>
          <w:lang w:val="en-US"/>
        </w:rPr>
        <w:t xml:space="preserve">(SC-PTM) </w:t>
      </w:r>
      <w:r w:rsidR="003D7763" w:rsidRPr="003D7763">
        <w:t>transmission</w:t>
      </w:r>
      <w:r w:rsidR="003D7763" w:rsidRPr="003D7763">
        <w:rPr>
          <w:rFonts w:hint="eastAsia"/>
        </w:rPr>
        <w:t xml:space="preserve"> in </w:t>
      </w:r>
      <w:r w:rsidR="003D7763" w:rsidRPr="003D7763">
        <w:t>E-UTRAN</w:t>
      </w:r>
      <w:r w:rsidR="0028449B">
        <w:t xml:space="preserve"> and evaluate the gains and feasibility of the solutions</w:t>
      </w:r>
      <w:r w:rsidR="003D7763">
        <w:t xml:space="preserve">. </w:t>
      </w:r>
      <w:r w:rsidR="00D84107">
        <w:t>One major objective of the SI is i</w:t>
      </w:r>
      <w:r w:rsidR="003D7763">
        <w:t xml:space="preserve">mproved </w:t>
      </w:r>
      <w:r>
        <w:t>radio r</w:t>
      </w:r>
      <w:r w:rsidR="00CB73F9">
        <w:t>esource efficiency</w:t>
      </w:r>
      <w:r w:rsidR="00DF34EF">
        <w:t>.</w:t>
      </w:r>
    </w:p>
    <w:p w14:paraId="2FA56792" w14:textId="77777777" w:rsidR="00CB73F9" w:rsidRDefault="00D84107" w:rsidP="00D84107">
      <w:pPr>
        <w:pStyle w:val="Heading1"/>
      </w:pPr>
      <w:r>
        <w:t>Radio resource efficiency</w:t>
      </w:r>
    </w:p>
    <w:p w14:paraId="77832952" w14:textId="77777777" w:rsidR="00D84107" w:rsidRPr="00D84107" w:rsidRDefault="00D84107" w:rsidP="00D84107">
      <w:pPr>
        <w:pStyle w:val="Heading2"/>
      </w:pPr>
      <w:r>
        <w:t>General discussion</w:t>
      </w:r>
    </w:p>
    <w:p w14:paraId="7DD53475" w14:textId="77777777" w:rsidR="001149AB" w:rsidRDefault="00707F47" w:rsidP="005E241A">
      <w:pPr>
        <w:pStyle w:val="BodyText"/>
      </w:pPr>
      <w:r>
        <w:t>In the study item description, t</w:t>
      </w:r>
      <w:r w:rsidR="001149AB">
        <w:t xml:space="preserve">he current mechanisms </w:t>
      </w:r>
      <w:r w:rsidR="00900C5C">
        <w:t>for MBMS are</w:t>
      </w:r>
      <w:r w:rsidR="00D84B6F">
        <w:t xml:space="preserve"> described </w:t>
      </w:r>
      <w:r w:rsidR="00900C5C">
        <w:t>as non-optimised</w:t>
      </w:r>
      <w:r w:rsidR="001149AB">
        <w:t xml:space="preserve"> for </w:t>
      </w:r>
      <w:r>
        <w:t xml:space="preserve">dynamically changing number of groups, which are </w:t>
      </w:r>
      <w:r w:rsidR="001149AB">
        <w:t xml:space="preserve">localised </w:t>
      </w:r>
      <w:r>
        <w:t>and have dynamically changing traffic load</w:t>
      </w:r>
      <w:r w:rsidR="00900C5C">
        <w:t xml:space="preserve">. </w:t>
      </w:r>
      <w:r w:rsidR="00A508B1">
        <w:t>T</w:t>
      </w:r>
      <w:r w:rsidR="001149AB">
        <w:t>here are situations when</w:t>
      </w:r>
      <w:r w:rsidR="00D84B6F">
        <w:t xml:space="preserve"> pre-assigned resources for critical services may </w:t>
      </w:r>
      <w:r w:rsidR="00775706">
        <w:t>remain</w:t>
      </w:r>
      <w:r w:rsidR="00D84B6F">
        <w:t xml:space="preserve"> unused. The SI should </w:t>
      </w:r>
      <w:r w:rsidR="00900C5C">
        <w:t xml:space="preserve">thus </w:t>
      </w:r>
      <w:r w:rsidR="00D84B6F">
        <w:t xml:space="preserve">study and evaluate the gain in resource efficiency for solutions in relevant scenarios considering </w:t>
      </w:r>
      <w:r w:rsidR="00900C5C">
        <w:t>defined</w:t>
      </w:r>
      <w:r w:rsidR="00D84B6F">
        <w:t xml:space="preserve"> performance requirements and by comparing to existing functionality</w:t>
      </w:r>
      <w:r w:rsidR="00900C5C">
        <w:t xml:space="preserve"> such as </w:t>
      </w:r>
      <w:r w:rsidR="00A508B1">
        <w:t xml:space="preserve">unicast and </w:t>
      </w:r>
      <w:r w:rsidR="00900C5C">
        <w:t>eMBMS</w:t>
      </w:r>
      <w:r>
        <w:t xml:space="preserve"> in MBSFN mode</w:t>
      </w:r>
      <w:r w:rsidR="00D84B6F">
        <w:t>.</w:t>
      </w:r>
    </w:p>
    <w:p w14:paraId="774A6E80" w14:textId="77777777" w:rsidR="008A18CD" w:rsidRDefault="00775706" w:rsidP="005E241A">
      <w:pPr>
        <w:pStyle w:val="BodyText"/>
      </w:pPr>
      <w:r>
        <w:t xml:space="preserve">SI </w:t>
      </w:r>
      <w:r w:rsidR="00A70B66">
        <w:t>lists some potential</w:t>
      </w:r>
      <w:r>
        <w:t xml:space="preserve"> d</w:t>
      </w:r>
      <w:r w:rsidR="008A18CD">
        <w:t xml:space="preserve">rawbacks with </w:t>
      </w:r>
      <w:r w:rsidR="008A18CD" w:rsidRPr="00DF34EF">
        <w:t>current MBSFN mode:</w:t>
      </w:r>
    </w:p>
    <w:p w14:paraId="7D7E2A65" w14:textId="77777777" w:rsidR="008A18CD" w:rsidRDefault="008A18CD" w:rsidP="005E241A">
      <w:pPr>
        <w:pStyle w:val="BodyText"/>
        <w:numPr>
          <w:ilvl w:val="0"/>
          <w:numId w:val="24"/>
        </w:numPr>
        <w:tabs>
          <w:tab w:val="left" w:pos="720"/>
        </w:tabs>
      </w:pPr>
      <w:r>
        <w:t xml:space="preserve">Subframe granularity: if </w:t>
      </w:r>
      <w:r w:rsidR="005E241A" w:rsidRPr="005E241A">
        <w:t>eMBMS d</w:t>
      </w:r>
      <w:r>
        <w:t>ata does not fill the whole subframe</w:t>
      </w:r>
      <w:r w:rsidR="00775706">
        <w:t>,</w:t>
      </w:r>
      <w:r>
        <w:t xml:space="preserve"> </w:t>
      </w:r>
      <w:r w:rsidRPr="005E241A">
        <w:t xml:space="preserve">no frequency multiplexing with </w:t>
      </w:r>
      <w:r>
        <w:t xml:space="preserve">unicast </w:t>
      </w:r>
      <w:r w:rsidR="00775706">
        <w:t xml:space="preserve">is </w:t>
      </w:r>
      <w:r>
        <w:t xml:space="preserve">possible due to </w:t>
      </w:r>
      <w:r w:rsidR="00775706">
        <w:t xml:space="preserve">the </w:t>
      </w:r>
      <w:r>
        <w:t xml:space="preserve">different subframe structure in </w:t>
      </w:r>
      <w:r w:rsidR="00775706">
        <w:t xml:space="preserve">the </w:t>
      </w:r>
      <w:r>
        <w:t>data region</w:t>
      </w:r>
      <w:r w:rsidR="00775706">
        <w:t>. MBSFN subframes</w:t>
      </w:r>
      <w:r w:rsidR="005253DB">
        <w:t xml:space="preserve"> </w:t>
      </w:r>
      <w:r w:rsidR="00775706">
        <w:t xml:space="preserve">have a </w:t>
      </w:r>
      <w:r>
        <w:t xml:space="preserve">longer OFDM </w:t>
      </w:r>
      <w:r w:rsidR="00775706">
        <w:t xml:space="preserve">symbol duration </w:t>
      </w:r>
      <w:r>
        <w:t>and CP duration</w:t>
      </w:r>
      <w:r w:rsidR="00775706">
        <w:t>.</w:t>
      </w:r>
    </w:p>
    <w:p w14:paraId="6C2D554E" w14:textId="77777777" w:rsidR="008F444B" w:rsidRDefault="00775706" w:rsidP="005E241A">
      <w:pPr>
        <w:pStyle w:val="BodyText"/>
        <w:numPr>
          <w:ilvl w:val="0"/>
          <w:numId w:val="24"/>
        </w:numPr>
        <w:tabs>
          <w:tab w:val="left" w:pos="720"/>
        </w:tabs>
      </w:pPr>
      <w:r>
        <w:t>If the MBSFN area is small or only consists of one cell, the use of the e</w:t>
      </w:r>
      <w:r w:rsidR="008F444B">
        <w:t xml:space="preserve">xtended CP </w:t>
      </w:r>
      <w:r>
        <w:t xml:space="preserve">is </w:t>
      </w:r>
      <w:r w:rsidR="008F444B">
        <w:t>not needed</w:t>
      </w:r>
      <w:r w:rsidR="00C9434F">
        <w:t xml:space="preserve">. The longer CP of MBSFN mode implies a lower code rate for </w:t>
      </w:r>
      <w:r w:rsidR="00952C97">
        <w:t>a given MCS, or,</w:t>
      </w:r>
      <w:r w:rsidR="00DF34EF">
        <w:t xml:space="preserve"> </w:t>
      </w:r>
      <w:r w:rsidR="00700139">
        <w:t>conversely</w:t>
      </w:r>
      <w:r w:rsidR="00952C97">
        <w:t>, in order to achieve the same desired BLEP for a given SINR a lower MCS has to be used,</w:t>
      </w:r>
      <w:r w:rsidR="00934ED7">
        <w:t xml:space="preserve"> so that less data can be transmitted per subframe</w:t>
      </w:r>
      <w:r w:rsidR="00DF34EF">
        <w:t>.</w:t>
      </w:r>
    </w:p>
    <w:p w14:paraId="222E91D7" w14:textId="77777777" w:rsidR="005F7E14" w:rsidRDefault="00934ED7" w:rsidP="006A0FB5">
      <w:pPr>
        <w:pStyle w:val="BodyText"/>
        <w:numPr>
          <w:ilvl w:val="0"/>
          <w:numId w:val="24"/>
        </w:numPr>
        <w:tabs>
          <w:tab w:val="left" w:pos="720"/>
        </w:tabs>
      </w:pPr>
      <w:r>
        <w:t>If there are no data transmissions the o</w:t>
      </w:r>
      <w:r w:rsidR="008A18CD">
        <w:t>verhead for pre-configured eMBMS bearers</w:t>
      </w:r>
      <w:r w:rsidR="005F7E14">
        <w:t xml:space="preserve"> with no data transmission</w:t>
      </w:r>
      <w:r>
        <w:t xml:space="preserve"> can be up to 2.5 % of the total subframes if the</w:t>
      </w:r>
      <w:r w:rsidR="00567C88">
        <w:t xml:space="preserve"> </w:t>
      </w:r>
      <w:r w:rsidR="005F7E14">
        <w:t xml:space="preserve">delay-acceptable </w:t>
      </w:r>
      <w:r w:rsidR="005F7E14" w:rsidRPr="005F7E14">
        <w:t xml:space="preserve">MSP </w:t>
      </w:r>
      <w:r w:rsidR="005F7E14">
        <w:t xml:space="preserve">of 40 </w:t>
      </w:r>
      <w:proofErr w:type="spellStart"/>
      <w:r w:rsidR="005F7E14">
        <w:t>ms</w:t>
      </w:r>
      <w:proofErr w:type="spellEnd"/>
      <w:r w:rsidR="005F7E14">
        <w:t xml:space="preserve"> </w:t>
      </w:r>
      <w:r w:rsidR="00775706">
        <w:t>that has been introduced for GCSE Rel-12</w:t>
      </w:r>
      <w:r>
        <w:t>, is used</w:t>
      </w:r>
    </w:p>
    <w:p w14:paraId="6F9DAC5C" w14:textId="77777777" w:rsidR="00716A37" w:rsidRDefault="00716A37" w:rsidP="005F7E14">
      <w:pPr>
        <w:pStyle w:val="BodyText"/>
        <w:tabs>
          <w:tab w:val="left" w:pos="720"/>
        </w:tabs>
      </w:pPr>
      <w:r>
        <w:t>The following aspects should be taken into account in the discussion of SC-PTM:</w:t>
      </w:r>
    </w:p>
    <w:p w14:paraId="0EEA3BA9" w14:textId="77777777" w:rsidR="008F444B" w:rsidRDefault="008F444B" w:rsidP="006A5D56">
      <w:pPr>
        <w:pStyle w:val="BodyText"/>
        <w:numPr>
          <w:ilvl w:val="0"/>
          <w:numId w:val="24"/>
        </w:numPr>
        <w:tabs>
          <w:tab w:val="left" w:pos="720"/>
        </w:tabs>
      </w:pPr>
      <w:r>
        <w:t>Without link adaptation the MCS configuration must be chosen for cell edge UEs</w:t>
      </w:r>
    </w:p>
    <w:p w14:paraId="4AFF8E26" w14:textId="77777777" w:rsidR="008F444B" w:rsidRDefault="00DF34EF" w:rsidP="006A5D56">
      <w:pPr>
        <w:pStyle w:val="BodyText"/>
        <w:numPr>
          <w:ilvl w:val="1"/>
          <w:numId w:val="24"/>
        </w:numPr>
        <w:tabs>
          <w:tab w:val="left" w:pos="720"/>
        </w:tabs>
      </w:pPr>
      <w:r>
        <w:t>T</w:t>
      </w:r>
      <w:r w:rsidR="008F444B">
        <w:t xml:space="preserve">he </w:t>
      </w:r>
      <w:r w:rsidR="009F0F7D">
        <w:t>switching point</w:t>
      </w:r>
      <w:r w:rsidR="008F444B">
        <w:t xml:space="preserve"> is expected to be around </w:t>
      </w:r>
      <w:r w:rsidR="00D433CB">
        <w:t>5 users</w:t>
      </w:r>
      <w:r w:rsidR="009F0F7D">
        <w:t xml:space="preserve"> </w:t>
      </w:r>
      <w:r w:rsidR="00934ED7">
        <w:t xml:space="preserve">per cell </w:t>
      </w:r>
      <w:r w:rsidR="009F0F7D">
        <w:t xml:space="preserve">according to </w:t>
      </w:r>
      <w:r w:rsidR="009F0F7D">
        <w:fldChar w:fldCharType="begin"/>
      </w:r>
      <w:r w:rsidR="009F0F7D">
        <w:instrText xml:space="preserve"> REF _Ref409533439 \r \h </w:instrText>
      </w:r>
      <w:r w:rsidR="009F0F7D">
        <w:fldChar w:fldCharType="separate"/>
      </w:r>
      <w:r w:rsidR="00160645">
        <w:t>[2]</w:t>
      </w:r>
      <w:r w:rsidR="009F0F7D">
        <w:fldChar w:fldCharType="end"/>
      </w:r>
      <w:r w:rsidR="009F0F7D">
        <w:t xml:space="preserve"> for</w:t>
      </w:r>
      <w:r w:rsidR="00D433CB">
        <w:t xml:space="preserve"> 95 % coverage and 1 % BLER</w:t>
      </w:r>
    </w:p>
    <w:p w14:paraId="48FD13C8" w14:textId="77777777" w:rsidR="008F444B" w:rsidRDefault="00934ED7" w:rsidP="006A5D56">
      <w:pPr>
        <w:pStyle w:val="BodyText"/>
        <w:numPr>
          <w:ilvl w:val="1"/>
          <w:numId w:val="24"/>
        </w:numPr>
        <w:tabs>
          <w:tab w:val="left" w:pos="720"/>
        </w:tabs>
      </w:pPr>
      <w:r>
        <w:t xml:space="preserve">The </w:t>
      </w:r>
      <w:r w:rsidR="008F444B">
        <w:t>use of MIMO is questionable</w:t>
      </w:r>
      <w:r>
        <w:t xml:space="preserve"> if the transmission mode has to be selected for cell-edge UEs</w:t>
      </w:r>
    </w:p>
    <w:p w14:paraId="2FECC08A" w14:textId="77777777" w:rsidR="008F444B" w:rsidRDefault="00934ED7" w:rsidP="006A5D56">
      <w:pPr>
        <w:pStyle w:val="BodyText"/>
        <w:numPr>
          <w:ilvl w:val="1"/>
          <w:numId w:val="24"/>
        </w:numPr>
        <w:tabs>
          <w:tab w:val="left" w:pos="720"/>
        </w:tabs>
      </w:pPr>
      <w:r>
        <w:t xml:space="preserve">If there are multiple </w:t>
      </w:r>
      <w:proofErr w:type="spellStart"/>
      <w:r>
        <w:t>neighboring</w:t>
      </w:r>
      <w:proofErr w:type="spellEnd"/>
      <w:r>
        <w:t xml:space="preserve"> cells providing the MBMS service via SC-PTM, there will be no </w:t>
      </w:r>
      <w:r w:rsidR="00003B76">
        <w:t>MBSFN gain</w:t>
      </w:r>
      <w:r w:rsidR="00A70B66">
        <w:t>.</w:t>
      </w:r>
    </w:p>
    <w:p w14:paraId="28A342A7" w14:textId="77777777" w:rsidR="00510524" w:rsidRDefault="00510524" w:rsidP="006A5D56">
      <w:pPr>
        <w:pStyle w:val="BodyText"/>
        <w:numPr>
          <w:ilvl w:val="0"/>
          <w:numId w:val="24"/>
        </w:numPr>
        <w:tabs>
          <w:tab w:val="left" w:pos="720"/>
        </w:tabs>
      </w:pPr>
      <w:r>
        <w:t>For better adaptation to the dynamic user distribution and group size, it might be beneficial to discuss feedback mechanisms to allow for adaptive MCS selection and retransmissions specifically for cell-edge UEs</w:t>
      </w:r>
      <w:r w:rsidR="00A77EE7">
        <w:t>. T</w:t>
      </w:r>
      <w:r w:rsidR="00CF1C98">
        <w:t xml:space="preserve">his will </w:t>
      </w:r>
      <w:r w:rsidR="00A77EE7">
        <w:t xml:space="preserve">on the other hand </w:t>
      </w:r>
      <w:r w:rsidR="00CF1C98">
        <w:t>increase the complexity</w:t>
      </w:r>
      <w:r>
        <w:t>.</w:t>
      </w:r>
    </w:p>
    <w:p w14:paraId="1A40D650" w14:textId="77777777" w:rsidR="00567C88" w:rsidRDefault="00934ED7" w:rsidP="00567C88">
      <w:pPr>
        <w:pStyle w:val="BodyText"/>
        <w:tabs>
          <w:tab w:val="left" w:pos="720"/>
        </w:tabs>
      </w:pPr>
      <w:r>
        <w:lastRenderedPageBreak/>
        <w:t>The r</w:t>
      </w:r>
      <w:r w:rsidR="00233223">
        <w:t>esource waste</w:t>
      </w:r>
      <w:r>
        <w:t xml:space="preserve"> is only relevant</w:t>
      </w:r>
      <w:r w:rsidR="00233223">
        <w:t xml:space="preserve"> when unicast resources are scarce</w:t>
      </w:r>
      <w:r>
        <w:t xml:space="preserve"> and multiplexing of MBMS and unicast traffic is required. </w:t>
      </w:r>
      <w:r w:rsidR="00A35747">
        <w:t xml:space="preserve">If unicast resources are scarce in a specific cell, the likelihood that </w:t>
      </w:r>
      <w:proofErr w:type="spellStart"/>
      <w:r w:rsidR="00A35747">
        <w:t>neighboring</w:t>
      </w:r>
      <w:proofErr w:type="spellEnd"/>
      <w:r w:rsidR="00A35747">
        <w:t xml:space="preserve"> cells are also crowded is rather high. With more interference from </w:t>
      </w:r>
      <w:proofErr w:type="spellStart"/>
      <w:r w:rsidR="00A35747">
        <w:t>neighboring</w:t>
      </w:r>
      <w:proofErr w:type="spellEnd"/>
      <w:r w:rsidR="00A35747">
        <w:t xml:space="preserve"> cells it seems the use of </w:t>
      </w:r>
      <w:r w:rsidR="00567C88">
        <w:t>M</w:t>
      </w:r>
      <w:r w:rsidR="00A35747">
        <w:t>BSFN transmission would be more efficient.</w:t>
      </w:r>
    </w:p>
    <w:p w14:paraId="446A8624" w14:textId="77777777" w:rsidR="00D0632E" w:rsidRDefault="00FB23AD" w:rsidP="00567C88">
      <w:pPr>
        <w:pStyle w:val="BodyText"/>
        <w:tabs>
          <w:tab w:val="left" w:pos="720"/>
        </w:tabs>
      </w:pPr>
      <w:r>
        <w:t xml:space="preserve">Consequently, </w:t>
      </w:r>
      <w:r w:rsidR="00716A37">
        <w:t>for the comparison of PTP, SC-PTM and MBSFN should be for</w:t>
      </w:r>
      <w:r w:rsidR="00A35747">
        <w:t xml:space="preserve"> high load </w:t>
      </w:r>
      <w:proofErr w:type="gramStart"/>
      <w:r w:rsidR="00A35747">
        <w:t>scenarios</w:t>
      </w:r>
      <w:r>
        <w:t xml:space="preserve"> .</w:t>
      </w:r>
      <w:proofErr w:type="gramEnd"/>
    </w:p>
    <w:p w14:paraId="45A8ED11" w14:textId="77777777" w:rsidR="007955C5" w:rsidRDefault="007955C5" w:rsidP="00567C88">
      <w:pPr>
        <w:pStyle w:val="BodyText"/>
        <w:tabs>
          <w:tab w:val="left" w:pos="720"/>
        </w:tabs>
      </w:pPr>
      <w:r>
        <w:t xml:space="preserve">In the following </w:t>
      </w:r>
      <w:r w:rsidR="00716A37">
        <w:t xml:space="preserve">we </w:t>
      </w:r>
      <w:r w:rsidR="000E7E52">
        <w:t>present initial</w:t>
      </w:r>
      <w:r w:rsidR="00716A37">
        <w:t xml:space="preserve"> results for the SC-PTM performance.</w:t>
      </w:r>
    </w:p>
    <w:p w14:paraId="7C9B84C8" w14:textId="77777777" w:rsidR="00D84107" w:rsidRDefault="00D84107" w:rsidP="00D84107">
      <w:pPr>
        <w:pStyle w:val="Heading2"/>
      </w:pPr>
      <w:r>
        <w:t>Simulation assumptions</w:t>
      </w:r>
    </w:p>
    <w:p w14:paraId="7541E42A" w14:textId="77777777" w:rsidR="00C07A95" w:rsidRDefault="00EA7035" w:rsidP="00D84107">
      <w:r>
        <w:t>F</w:t>
      </w:r>
      <w:r w:rsidRPr="00EA7035">
        <w:t>or the initial simulations, we chose the 3GPP urban scenario because emergency incidents are more likely to happen in urban areas.</w:t>
      </w:r>
      <w:r>
        <w:t xml:space="preserve"> We </w:t>
      </w:r>
      <w:r w:rsidR="00C07A95">
        <w:t>use the following assumptions:</w:t>
      </w:r>
    </w:p>
    <w:p w14:paraId="7BDB14AB" w14:textId="77777777" w:rsidR="00E54CAC" w:rsidRDefault="00E54CAC" w:rsidP="000E7E52">
      <w:pPr>
        <w:numPr>
          <w:ilvl w:val="0"/>
          <w:numId w:val="42"/>
        </w:numPr>
      </w:pPr>
      <w:r>
        <w:t>3GPP case 1</w:t>
      </w:r>
      <w:r w:rsidR="00716A37">
        <w:t>, including vertical eNB antenna pattern according to TR36.814 with 15</w:t>
      </w:r>
      <w:r w:rsidR="00716A37">
        <w:sym w:font="Symbol" w:char="F0B0"/>
      </w:r>
      <w:r w:rsidR="00716A37">
        <w:t xml:space="preserve"> el. tilt.</w:t>
      </w:r>
    </w:p>
    <w:p w14:paraId="1EB4D63D" w14:textId="77777777" w:rsidR="00DF34EF" w:rsidRDefault="00EC226A" w:rsidP="000E7E52">
      <w:pPr>
        <w:numPr>
          <w:ilvl w:val="0"/>
          <w:numId w:val="42"/>
        </w:numPr>
      </w:pPr>
      <w:r>
        <w:t>ISD = 500 m</w:t>
      </w:r>
    </w:p>
    <w:p w14:paraId="1A8BAE37" w14:textId="77777777" w:rsidR="00EC226A" w:rsidRDefault="00EC226A" w:rsidP="000E7E52">
      <w:pPr>
        <w:numPr>
          <w:ilvl w:val="0"/>
          <w:numId w:val="42"/>
        </w:numPr>
      </w:pPr>
      <w:proofErr w:type="gramStart"/>
      <w:r>
        <w:t>no</w:t>
      </w:r>
      <w:proofErr w:type="gramEnd"/>
      <w:r>
        <w:t xml:space="preserve"> macro mobility</w:t>
      </w:r>
    </w:p>
    <w:p w14:paraId="7BA73577" w14:textId="77777777" w:rsidR="00EC226A" w:rsidRDefault="00EC226A" w:rsidP="000E7E52">
      <w:pPr>
        <w:numPr>
          <w:ilvl w:val="0"/>
          <w:numId w:val="42"/>
        </w:numPr>
      </w:pPr>
      <w:proofErr w:type="gramStart"/>
      <w:r>
        <w:t>statistically</w:t>
      </w:r>
      <w:proofErr w:type="gramEnd"/>
      <w:r>
        <w:t xml:space="preserve"> representative # of group-drops</w:t>
      </w:r>
    </w:p>
    <w:p w14:paraId="58BB0CFE" w14:textId="77777777" w:rsidR="00EC226A" w:rsidRDefault="00EC226A" w:rsidP="000E7E52">
      <w:pPr>
        <w:numPr>
          <w:ilvl w:val="0"/>
          <w:numId w:val="42"/>
        </w:numPr>
      </w:pPr>
      <w:r>
        <w:t>10MHz bandwi</w:t>
      </w:r>
      <w:r w:rsidR="00D82B16">
        <w:t>d</w:t>
      </w:r>
      <w:r>
        <w:t>th</w:t>
      </w:r>
    </w:p>
    <w:p w14:paraId="1AEE425E" w14:textId="77777777" w:rsidR="00EC226A" w:rsidRDefault="00E54CAC" w:rsidP="000E7E52">
      <w:pPr>
        <w:numPr>
          <w:ilvl w:val="0"/>
          <w:numId w:val="42"/>
        </w:numPr>
      </w:pPr>
      <w:r>
        <w:t xml:space="preserve">2GHz </w:t>
      </w:r>
      <w:r w:rsidR="00EC226A">
        <w:t xml:space="preserve">carrier frequency </w:t>
      </w:r>
    </w:p>
    <w:p w14:paraId="4174DEAC" w14:textId="77777777" w:rsidR="00EC226A" w:rsidRDefault="00EC226A" w:rsidP="000E7E52">
      <w:pPr>
        <w:numPr>
          <w:ilvl w:val="0"/>
          <w:numId w:val="42"/>
        </w:numPr>
      </w:pPr>
      <w:r>
        <w:t>95% UEs with BLER&lt;1%</w:t>
      </w:r>
      <w:r w:rsidR="00187E5E">
        <w:t xml:space="preserve"> (95 % is </w:t>
      </w:r>
      <w:r w:rsidR="00CC4198">
        <w:t xml:space="preserve">typically </w:t>
      </w:r>
      <w:r w:rsidR="00187E5E">
        <w:t>used</w:t>
      </w:r>
      <w:r w:rsidR="00CC4198">
        <w:t xml:space="preserve"> for latency requirements for MCPTT</w:t>
      </w:r>
      <w:r w:rsidR="00634A05">
        <w:t xml:space="preserve">, see TS 22.179 </w:t>
      </w:r>
      <w:r w:rsidR="00634A05">
        <w:fldChar w:fldCharType="begin"/>
      </w:r>
      <w:r w:rsidR="00634A05">
        <w:instrText xml:space="preserve"> REF _Ref410399675 \r \h </w:instrText>
      </w:r>
      <w:r w:rsidR="00634A05">
        <w:fldChar w:fldCharType="separate"/>
      </w:r>
      <w:r w:rsidR="00160645">
        <w:t>[3]</w:t>
      </w:r>
      <w:r w:rsidR="00634A05">
        <w:fldChar w:fldCharType="end"/>
      </w:r>
      <w:r w:rsidR="00187E5E">
        <w:t>)</w:t>
      </w:r>
    </w:p>
    <w:p w14:paraId="3B8F541C" w14:textId="77777777" w:rsidR="00D82B16" w:rsidRDefault="00D82B16" w:rsidP="00553B28">
      <w:pPr>
        <w:numPr>
          <w:ilvl w:val="1"/>
          <w:numId w:val="42"/>
        </w:numPr>
      </w:pPr>
      <w:r>
        <w:t>For public safety, it should be discussed to ensure BLER &lt; 1% for 99 % of the UEs, as this is not about e.g. late packet arrival, but packet loss.</w:t>
      </w:r>
    </w:p>
    <w:p w14:paraId="049A9808" w14:textId="77777777" w:rsidR="00EC226A" w:rsidRDefault="00EC226A" w:rsidP="000E7E52">
      <w:pPr>
        <w:numPr>
          <w:ilvl w:val="0"/>
          <w:numId w:val="42"/>
        </w:numPr>
      </w:pPr>
      <w:r>
        <w:t xml:space="preserve">100 % cell load </w:t>
      </w:r>
      <w:r>
        <w:sym w:font="Wingdings" w:char="F0E0"/>
      </w:r>
      <w:r>
        <w:t xml:space="preserve"> maximum interference</w:t>
      </w:r>
    </w:p>
    <w:p w14:paraId="39C726ED" w14:textId="77777777" w:rsidR="000D227B" w:rsidRDefault="00E627E9" w:rsidP="000E7E52">
      <w:pPr>
        <w:numPr>
          <w:ilvl w:val="0"/>
          <w:numId w:val="42"/>
        </w:numPr>
      </w:pPr>
      <w:r>
        <w:t xml:space="preserve">19 </w:t>
      </w:r>
      <w:r w:rsidR="000D227B">
        <w:t xml:space="preserve">sites, </w:t>
      </w:r>
      <w:r>
        <w:t xml:space="preserve">57 </w:t>
      </w:r>
      <w:r w:rsidR="000D227B">
        <w:t>cells</w:t>
      </w:r>
    </w:p>
    <w:p w14:paraId="282D1888" w14:textId="77777777" w:rsidR="00C07A95" w:rsidRDefault="00C07A95" w:rsidP="000E7E52">
      <w:pPr>
        <w:numPr>
          <w:ilvl w:val="0"/>
          <w:numId w:val="42"/>
        </w:numPr>
      </w:pPr>
      <w:r>
        <w:t xml:space="preserve">2x2 MIMO with </w:t>
      </w:r>
      <w:proofErr w:type="spellStart"/>
      <w:r>
        <w:t>Alamouti</w:t>
      </w:r>
      <w:proofErr w:type="spellEnd"/>
      <w:r>
        <w:t xml:space="preserve"> and IRC</w:t>
      </w:r>
    </w:p>
    <w:p w14:paraId="6512E95A" w14:textId="77777777" w:rsidR="00D82B16" w:rsidRDefault="00E627E9" w:rsidP="00553B28">
      <w:pPr>
        <w:numPr>
          <w:ilvl w:val="0"/>
          <w:numId w:val="42"/>
        </w:numPr>
      </w:pPr>
      <w:r>
        <w:t>CFI=2</w:t>
      </w:r>
    </w:p>
    <w:p w14:paraId="218F1AA2" w14:textId="77777777" w:rsidR="00D82B16" w:rsidRDefault="00D82B16" w:rsidP="00553B28">
      <w:pPr>
        <w:pStyle w:val="Proposal"/>
      </w:pPr>
      <w:r>
        <w:t xml:space="preserve">For public safety, it should be discussed whether to ensure BLER &lt; 1% for 99 % of the UEs, since packet loss is more severe than late packet arrival or </w:t>
      </w:r>
      <w:r w:rsidR="00883244">
        <w:t>delayed</w:t>
      </w:r>
      <w:r>
        <w:t xml:space="preserve"> call setup.</w:t>
      </w:r>
    </w:p>
    <w:p w14:paraId="09FD72C6" w14:textId="77777777" w:rsidR="00D82B16" w:rsidRDefault="00D82B16" w:rsidP="00553B28"/>
    <w:p w14:paraId="5B28D910" w14:textId="77777777" w:rsidR="00D84107" w:rsidRPr="00D84107" w:rsidRDefault="00D84107" w:rsidP="00D84107">
      <w:pPr>
        <w:pStyle w:val="Heading2"/>
      </w:pPr>
      <w:r>
        <w:t>Simulation results</w:t>
      </w:r>
      <w:r w:rsidR="00D90904">
        <w:t xml:space="preserve"> for SC-PTM</w:t>
      </w:r>
    </w:p>
    <w:p w14:paraId="491C316C" w14:textId="77777777" w:rsidR="00716A37" w:rsidRDefault="00C07A95" w:rsidP="00567C88">
      <w:pPr>
        <w:pStyle w:val="BodyText"/>
        <w:tabs>
          <w:tab w:val="left" w:pos="720"/>
        </w:tabs>
      </w:pPr>
      <w:r>
        <w:t xml:space="preserve">Figure 1 shows the CDF of the BLER without HARQ for all MCS (MCS &lt;=28 are as defined by 3GPP, MCS&gt;28 are </w:t>
      </w:r>
      <w:r w:rsidR="000D227B">
        <w:t xml:space="preserve">the </w:t>
      </w:r>
      <w:proofErr w:type="spellStart"/>
      <w:r w:rsidR="000D227B">
        <w:t>MCSes</w:t>
      </w:r>
      <w:proofErr w:type="spellEnd"/>
      <w:r w:rsidR="000D227B">
        <w:t xml:space="preserve"> defined by 3GPP </w:t>
      </w:r>
      <w:r>
        <w:t>for 256QAM</w:t>
      </w:r>
      <w:r w:rsidR="000D227B">
        <w:t xml:space="preserve">, just </w:t>
      </w:r>
      <w:proofErr w:type="spellStart"/>
      <w:r w:rsidR="000D227B">
        <w:t>reindexed</w:t>
      </w:r>
      <w:proofErr w:type="spellEnd"/>
      <w:r w:rsidR="000D227B">
        <w:t xml:space="preserve">). It becomes clear that the requirement of 95% UEs with BLER&lt;1% is </w:t>
      </w:r>
      <w:r w:rsidR="00716A37">
        <w:t xml:space="preserve">just met for MCS </w:t>
      </w:r>
      <w:r w:rsidR="00E627E9">
        <w:t>4</w:t>
      </w:r>
      <w:r w:rsidR="00716A37">
        <w:t xml:space="preserve">, i.e. without HARQ and without adapting the MCS to the (worst) positions of the UEs in a group, MCS </w:t>
      </w:r>
      <w:r w:rsidR="00E627E9">
        <w:t>4</w:t>
      </w:r>
      <w:r w:rsidR="00716A37">
        <w:t xml:space="preserve"> can be supported, i.e. </w:t>
      </w:r>
      <w:r w:rsidR="00E71C22">
        <w:t xml:space="preserve">a </w:t>
      </w:r>
      <w:r w:rsidR="00716A37">
        <w:t xml:space="preserve">spectral efficiency of </w:t>
      </w:r>
      <w:r w:rsidR="00E71C22">
        <w:t>0.</w:t>
      </w:r>
      <w:r w:rsidR="00E627E9">
        <w:t>36</w:t>
      </w:r>
      <w:r w:rsidR="00E71C22">
        <w:t>b/s/Hz.</w:t>
      </w:r>
      <w:r w:rsidR="00504879">
        <w:t xml:space="preserve"> In all our spectral efficiency results reported in this document, each received PTM bit is counted only once regardless by how many UEs it is received. </w:t>
      </w:r>
    </w:p>
    <w:p w14:paraId="59A0EAAD" w14:textId="77777777" w:rsidR="00E54CAC" w:rsidRDefault="00416834" w:rsidP="006F6095">
      <w:pPr>
        <w:pStyle w:val="BodyText"/>
        <w:tabs>
          <w:tab w:val="left" w:pos="720"/>
        </w:tabs>
        <w:jc w:val="center"/>
      </w:pPr>
      <w:r>
        <w:rPr>
          <w:noProof/>
          <w:lang w:val="en-US" w:eastAsia="en-US"/>
        </w:rPr>
        <w:lastRenderedPageBreak/>
        <w:drawing>
          <wp:inline distT="0" distB="0" distL="0" distR="0" wp14:anchorId="49ABCA5C" wp14:editId="5E7F0AF4">
            <wp:extent cx="6121400" cy="4584700"/>
            <wp:effectExtent l="0" t="0" r="0"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1400" cy="4584700"/>
                    </a:xfrm>
                    <a:prstGeom prst="rect">
                      <a:avLst/>
                    </a:prstGeom>
                    <a:noFill/>
                    <a:ln>
                      <a:noFill/>
                    </a:ln>
                  </pic:spPr>
                </pic:pic>
              </a:graphicData>
            </a:graphic>
          </wp:inline>
        </w:drawing>
      </w:r>
    </w:p>
    <w:p w14:paraId="0D57E503" w14:textId="77777777" w:rsidR="00E54CAC" w:rsidRDefault="00E54CAC" w:rsidP="006F6095">
      <w:pPr>
        <w:pStyle w:val="BodyText"/>
        <w:tabs>
          <w:tab w:val="left" w:pos="720"/>
        </w:tabs>
        <w:jc w:val="center"/>
      </w:pPr>
      <w:r>
        <w:t>Figure 1 - CDF of BLER</w:t>
      </w:r>
    </w:p>
    <w:p w14:paraId="7FF968B8" w14:textId="77777777" w:rsidR="000D227B" w:rsidRDefault="000D227B" w:rsidP="00567C88">
      <w:pPr>
        <w:pStyle w:val="BodyText"/>
        <w:tabs>
          <w:tab w:val="left" w:pos="720"/>
        </w:tabs>
      </w:pPr>
      <w:r>
        <w:t>In the following the 5% UEs with largest MCS-0 BLEP are disregarded. . We split the UE population into groups. All groups in one simulation have the same number of UEs.</w:t>
      </w:r>
    </w:p>
    <w:p w14:paraId="1E3369BC" w14:textId="77777777" w:rsidR="00D10736" w:rsidRDefault="007055D0" w:rsidP="00567C88">
      <w:pPr>
        <w:pStyle w:val="BodyText"/>
        <w:tabs>
          <w:tab w:val="left" w:pos="720"/>
        </w:tabs>
      </w:pPr>
      <w:r>
        <w:t>Figure 2 shows spectral efficiency vs group size where for each group the largest MCS is chosen to achieve BLEP&gt;1% for all UEs</w:t>
      </w:r>
      <w:r w:rsidR="00D10736">
        <w:t xml:space="preserve"> (ideal MCS adaptation, i.e. no CQI measurement errors or reporting delays)</w:t>
      </w:r>
      <w:r>
        <w:t xml:space="preserve">. The spectral efficiency for each group size is the average over all groups. </w:t>
      </w:r>
      <w:r w:rsidR="007F036A">
        <w:t xml:space="preserve">The blue curve is for the case without HARQ. </w:t>
      </w:r>
      <w:r w:rsidR="001F4C09">
        <w:t xml:space="preserve">As expected </w:t>
      </w:r>
      <w:r w:rsidR="00D10736">
        <w:t xml:space="preserve">for small groups a </w:t>
      </w:r>
      <w:r w:rsidR="001F4C09">
        <w:t>tremendously</w:t>
      </w:r>
      <w:r w:rsidR="00D10736">
        <w:t xml:space="preserve"> higher spect</w:t>
      </w:r>
      <w:r w:rsidR="001F4C09">
        <w:t>ral efficiency can be achieved</w:t>
      </w:r>
      <w:r w:rsidR="00D10736">
        <w:t xml:space="preserve">, and even for group size of 10 UEs the gain is still </w:t>
      </w:r>
      <w:r w:rsidR="001F4C09">
        <w:t>significantly higher than the 0.</w:t>
      </w:r>
      <w:r w:rsidR="00E627E9">
        <w:t>36b</w:t>
      </w:r>
      <w:r w:rsidR="001F4C09">
        <w:t>/s/Hz without group specific MCS adaptation.</w:t>
      </w:r>
    </w:p>
    <w:p w14:paraId="356C13C2" w14:textId="77777777" w:rsidR="0007384F" w:rsidRDefault="007F036A" w:rsidP="00567C88">
      <w:pPr>
        <w:pStyle w:val="BodyText"/>
        <w:tabs>
          <w:tab w:val="left" w:pos="720"/>
        </w:tabs>
      </w:pPr>
      <w:r>
        <w:t xml:space="preserve">The red curve is for the case </w:t>
      </w:r>
      <w:proofErr w:type="gramStart"/>
      <w:r>
        <w:t>of at most 2 retransmission on average</w:t>
      </w:r>
      <w:proofErr w:type="gramEnd"/>
      <w:r>
        <w:t xml:space="preserve">. </w:t>
      </w:r>
      <w:r w:rsidR="003C483D">
        <w:t>The retransmissions are separated by a time such that the UE travel</w:t>
      </w:r>
      <w:r w:rsidR="0007384F">
        <w:t>s</w:t>
      </w:r>
      <w:r w:rsidR="003C483D">
        <w:t xml:space="preserve"> by a quarter-wavelength, so that the channel gets de</w:t>
      </w:r>
      <w:r w:rsidR="000E7E52">
        <w:t>-</w:t>
      </w:r>
      <w:r w:rsidR="003C483D">
        <w:t xml:space="preserve">correlated. </w:t>
      </w:r>
      <w:r w:rsidR="0007384F">
        <w:t>Retransmissions are performed for a transport block and a group until all of t</w:t>
      </w:r>
      <w:r w:rsidR="00340143">
        <w:t>h</w:t>
      </w:r>
      <w:r w:rsidR="0007384F">
        <w:t>e 95% best UEs in the group have BLEP&lt;1% (estimated from the SINR).</w:t>
      </w:r>
    </w:p>
    <w:p w14:paraId="0E3ED7BD" w14:textId="77777777" w:rsidR="00AC5C62" w:rsidRDefault="003C483D" w:rsidP="00AC5C62">
      <w:pPr>
        <w:pStyle w:val="BodyText"/>
        <w:tabs>
          <w:tab w:val="left" w:pos="720"/>
        </w:tabs>
        <w:jc w:val="left"/>
      </w:pPr>
      <w:r>
        <w:t>The green curve shows the result for unlimited number of retransmissions. The spectral efficiency gain is achieved mainly by the further increase</w:t>
      </w:r>
      <w:r w:rsidR="0007384F">
        <w:t>d</w:t>
      </w:r>
      <w:r>
        <w:t xml:space="preserve"> time diversity achieved by the retransmissions. However</w:t>
      </w:r>
      <w:r w:rsidR="0007384F">
        <w:t>,</w:t>
      </w:r>
      <w:r>
        <w:t xml:space="preserve"> for low UEs speed of 3km/h and at 2GHz, travelling a quarter wavelength takes 45ms, so the transport block delay limit does not allow for much time diversity. The green curve is therefore considered to be an impractical upper bound</w:t>
      </w:r>
      <w:r w:rsidR="0007384F">
        <w:t xml:space="preserve"> </w:t>
      </w:r>
      <w:r>
        <w:t>f</w:t>
      </w:r>
      <w:r w:rsidR="0007384F">
        <w:t>or</w:t>
      </w:r>
      <w:r>
        <w:t xml:space="preserve"> retransmissions </w:t>
      </w:r>
      <w:r w:rsidR="000E7E52">
        <w:t>gains. Summarizing</w:t>
      </w:r>
      <w:r w:rsidR="00EB1B01">
        <w:t xml:space="preserve">, HARQ retransmissions are </w:t>
      </w:r>
      <w:r w:rsidR="00E71C22">
        <w:t>very beneficial</w:t>
      </w:r>
      <w:r w:rsidR="00EB1B01">
        <w:t xml:space="preserve"> to ach</w:t>
      </w:r>
      <w:r w:rsidR="00BB045F">
        <w:t xml:space="preserve">ieve an increase in the spectral </w:t>
      </w:r>
      <w:proofErr w:type="gramStart"/>
      <w:r w:rsidR="00BB045F">
        <w:t xml:space="preserve">efficiency </w:t>
      </w:r>
      <w:r w:rsidR="00AC5C62">
        <w:t>.</w:t>
      </w:r>
      <w:proofErr w:type="gramEnd"/>
    </w:p>
    <w:p w14:paraId="1BE73478" w14:textId="77777777" w:rsidR="00D57CF8" w:rsidRDefault="00BB045F" w:rsidP="006F6095">
      <w:pPr>
        <w:pStyle w:val="BodyText"/>
        <w:tabs>
          <w:tab w:val="left" w:pos="720"/>
        </w:tabs>
        <w:jc w:val="center"/>
        <w:rPr>
          <w:color w:val="1F497D"/>
        </w:rPr>
      </w:pPr>
      <w:r>
        <w:t>.</w:t>
      </w:r>
    </w:p>
    <w:p w14:paraId="0FD4AC06" w14:textId="77777777" w:rsidR="006770EC" w:rsidRDefault="00416834" w:rsidP="006F6095">
      <w:pPr>
        <w:pStyle w:val="BodyText"/>
        <w:tabs>
          <w:tab w:val="left" w:pos="720"/>
        </w:tabs>
        <w:jc w:val="center"/>
        <w:rPr>
          <w:color w:val="1F497D"/>
        </w:rPr>
      </w:pPr>
      <w:r>
        <w:rPr>
          <w:noProof/>
          <w:color w:val="1F497D"/>
          <w:lang w:val="en-US" w:eastAsia="en-US"/>
        </w:rPr>
        <w:lastRenderedPageBreak/>
        <w:drawing>
          <wp:inline distT="0" distB="0" distL="0" distR="0" wp14:anchorId="4AD4232F" wp14:editId="4756952B">
            <wp:extent cx="3149600" cy="2971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49600" cy="2971800"/>
                    </a:xfrm>
                    <a:prstGeom prst="rect">
                      <a:avLst/>
                    </a:prstGeom>
                    <a:noFill/>
                    <a:ln>
                      <a:noFill/>
                    </a:ln>
                  </pic:spPr>
                </pic:pic>
              </a:graphicData>
            </a:graphic>
          </wp:inline>
        </w:drawing>
      </w:r>
    </w:p>
    <w:p w14:paraId="6CD82025" w14:textId="77777777" w:rsidR="00EC226A" w:rsidRDefault="00E54CAC" w:rsidP="006F6095">
      <w:pPr>
        <w:pStyle w:val="BodyText"/>
        <w:tabs>
          <w:tab w:val="left" w:pos="720"/>
        </w:tabs>
        <w:jc w:val="center"/>
      </w:pPr>
      <w:r>
        <w:t xml:space="preserve">Figure 2 - </w:t>
      </w:r>
      <w:r w:rsidR="00E71C22">
        <w:t>S</w:t>
      </w:r>
      <w:r>
        <w:t>pectral efficiency vs # UEs per group, for different average number of retransmissions.</w:t>
      </w:r>
    </w:p>
    <w:p w14:paraId="3A560D99" w14:textId="77777777" w:rsidR="00D96F43" w:rsidRDefault="00D96F43" w:rsidP="006F6095">
      <w:pPr>
        <w:pStyle w:val="BodyText"/>
        <w:tabs>
          <w:tab w:val="left" w:pos="720"/>
        </w:tabs>
        <w:jc w:val="center"/>
      </w:pPr>
    </w:p>
    <w:p w14:paraId="12547EA0" w14:textId="77777777" w:rsidR="00D96F43" w:rsidRDefault="00D96F43" w:rsidP="00B9432A">
      <w:pPr>
        <w:pStyle w:val="Heading2"/>
        <w:rPr>
          <w:lang w:val="en-US"/>
        </w:rPr>
      </w:pPr>
      <w:r w:rsidRPr="00D96F43">
        <w:rPr>
          <w:lang w:val="en-US"/>
        </w:rPr>
        <w:t xml:space="preserve">Comparison with MBSFN </w:t>
      </w:r>
    </w:p>
    <w:p w14:paraId="4E8A8402" w14:textId="77777777" w:rsidR="00D96F43" w:rsidRDefault="00D96F43" w:rsidP="00B9432A">
      <w:pPr>
        <w:rPr>
          <w:lang w:val="en-US"/>
        </w:rPr>
      </w:pPr>
      <w:proofErr w:type="gramStart"/>
      <w:r>
        <w:rPr>
          <w:lang w:val="en-US"/>
        </w:rPr>
        <w:t>We have simulated a scenario where the user group has the center cell number 1 as the serving cell</w:t>
      </w:r>
      <w:proofErr w:type="gramEnd"/>
      <w:r>
        <w:rPr>
          <w:lang w:val="en-US"/>
        </w:rPr>
        <w:t xml:space="preserve">, </w:t>
      </w:r>
      <w:proofErr w:type="gramStart"/>
      <w:r>
        <w:rPr>
          <w:lang w:val="en-US"/>
        </w:rPr>
        <w:t>see Figure 3</w:t>
      </w:r>
      <w:proofErr w:type="gramEnd"/>
      <w:r>
        <w:rPr>
          <w:lang w:val="en-US"/>
        </w:rPr>
        <w:t xml:space="preserve">.  The group service is provided </w:t>
      </w:r>
      <w:proofErr w:type="gramStart"/>
      <w:r>
        <w:rPr>
          <w:lang w:val="en-US"/>
        </w:rPr>
        <w:t>by  MBSFNs</w:t>
      </w:r>
      <w:proofErr w:type="gramEnd"/>
      <w:r>
        <w:rPr>
          <w:lang w:val="en-US"/>
        </w:rPr>
        <w:t xml:space="preserve"> of 3 different sizes, 1, 7 or 19 cells. All MBSFNs are centered on cell number 1. The example of Figure 3 shows the case of MBSFN area of 19 cells. The remaining of the in total 57 cells </w:t>
      </w:r>
      <w:proofErr w:type="gramStart"/>
      <w:r>
        <w:rPr>
          <w:lang w:val="en-US"/>
        </w:rPr>
        <w:t>generate</w:t>
      </w:r>
      <w:proofErr w:type="gramEnd"/>
      <w:r>
        <w:rPr>
          <w:lang w:val="en-US"/>
        </w:rPr>
        <w:t xml:space="preserve"> interference at full resource utilization. The MBSFN cells that are not selected by group users as serving cells are </w:t>
      </w:r>
      <w:r w:rsidR="00501C62">
        <w:rPr>
          <w:lang w:val="en-US"/>
        </w:rPr>
        <w:t xml:space="preserve">only </w:t>
      </w:r>
      <w:r>
        <w:rPr>
          <w:lang w:val="en-US"/>
        </w:rPr>
        <w:t>part of the MBSFN to provide useful signal aggregation and to increase the distance to the interfering cells. They are called here suppor</w:t>
      </w:r>
      <w:r w:rsidR="00501C62">
        <w:rPr>
          <w:lang w:val="en-US"/>
        </w:rPr>
        <w:t>t</w:t>
      </w:r>
      <w:r>
        <w:rPr>
          <w:lang w:val="en-US"/>
        </w:rPr>
        <w:t xml:space="preserve">ing cells. An alternative to the simulated scenario would be to mute some border cells of the MBSFN. </w:t>
      </w:r>
      <w:r w:rsidR="00146AFF">
        <w:rPr>
          <w:lang w:val="en-US"/>
        </w:rPr>
        <w:t>For legacy eMBMS, t</w:t>
      </w:r>
      <w:r>
        <w:rPr>
          <w:lang w:val="en-US"/>
        </w:rPr>
        <w:t xml:space="preserve">he number of UEs in the group is </w:t>
      </w:r>
      <w:proofErr w:type="gramStart"/>
      <w:r>
        <w:rPr>
          <w:lang w:val="en-US"/>
        </w:rPr>
        <w:t xml:space="preserve">irrelevant </w:t>
      </w:r>
      <w:r w:rsidR="00501C62">
        <w:rPr>
          <w:lang w:val="en-US"/>
        </w:rPr>
        <w:t xml:space="preserve"> </w:t>
      </w:r>
      <w:r w:rsidR="00146AFF">
        <w:rPr>
          <w:lang w:val="en-US"/>
        </w:rPr>
        <w:t>because</w:t>
      </w:r>
      <w:proofErr w:type="gramEnd"/>
      <w:r w:rsidR="00146AFF">
        <w:rPr>
          <w:lang w:val="en-US"/>
        </w:rPr>
        <w:t xml:space="preserve"> </w:t>
      </w:r>
      <w:r>
        <w:rPr>
          <w:lang w:val="en-US"/>
        </w:rPr>
        <w:t>there is no MCS adaptation to UE CQIs and no HARQ.</w:t>
      </w:r>
    </w:p>
    <w:p w14:paraId="32F7304C" w14:textId="77777777" w:rsidR="00D96F43" w:rsidRDefault="00D96F43" w:rsidP="00B9432A">
      <w:pPr>
        <w:rPr>
          <w:lang w:val="en-US"/>
        </w:rPr>
      </w:pPr>
      <w:r>
        <w:rPr>
          <w:lang w:val="en-US"/>
        </w:rPr>
        <w:t>.  For the other MBSFN area sizes a higher MCS can be selected and the resulting spectral efficiencies are listed in Table 1</w:t>
      </w:r>
      <w:r w:rsidR="009D4FBA">
        <w:rPr>
          <w:lang w:val="en-US"/>
        </w:rPr>
        <w:t>.</w:t>
      </w:r>
    </w:p>
    <w:p w14:paraId="500498D8" w14:textId="77777777" w:rsidR="009D4FBA" w:rsidRDefault="009D4FBA" w:rsidP="00B9432A">
      <w:pPr>
        <w:rPr>
          <w:lang w:val="en-US"/>
        </w:rPr>
      </w:pPr>
      <w:r>
        <w:rPr>
          <w:lang w:val="en-US"/>
        </w:rPr>
        <w:t xml:space="preserve">The scenario for # MBSFN cells=1, in other words a single-cell MBSFN, is except for the lower number of resource elements (due to extended CP) and lack of </w:t>
      </w:r>
      <w:proofErr w:type="spellStart"/>
      <w:r>
        <w:rPr>
          <w:lang w:val="en-US"/>
        </w:rPr>
        <w:t>Alamouti</w:t>
      </w:r>
      <w:proofErr w:type="spellEnd"/>
      <w:r>
        <w:rPr>
          <w:lang w:val="en-US"/>
        </w:rPr>
        <w:t xml:space="preserve"> TX-diversity equivalent to the SC-PTM scenario without HARQ and group specific MCS adaptation, where section 2.3 reported a spectral efficiency of 0.36b/s/Hz. Accordingly, the result of the SC-MBSFN is with 0.22b/s/Hz lower.  </w:t>
      </w:r>
    </w:p>
    <w:p w14:paraId="5B686A03" w14:textId="77777777" w:rsidR="00D96F43" w:rsidRDefault="00D96F43" w:rsidP="00B9432A">
      <w:pPr>
        <w:rPr>
          <w:lang w:val="en-US"/>
        </w:rPr>
      </w:pPr>
    </w:p>
    <w:p w14:paraId="4FB7E33C" w14:textId="77777777" w:rsidR="00D96F43" w:rsidRDefault="00416834" w:rsidP="00B9432A">
      <w:pPr>
        <w:jc w:val="center"/>
        <w:rPr>
          <w:lang w:val="en-US"/>
        </w:rPr>
      </w:pPr>
      <w:r>
        <w:rPr>
          <w:noProof/>
          <w:lang w:val="en-US" w:eastAsia="en-US"/>
        </w:rPr>
        <w:lastRenderedPageBreak/>
        <w:drawing>
          <wp:inline distT="0" distB="0" distL="0" distR="0" wp14:anchorId="5FA57D51" wp14:editId="6AC57F70">
            <wp:extent cx="3797300" cy="3568700"/>
            <wp:effectExtent l="0" t="0" r="0" b="12700"/>
            <wp:docPr id="5"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1">
                      <a:extLst>
                        <a:ext uri="{28A0092B-C50C-407E-A947-70E740481C1C}">
                          <a14:useLocalDpi xmlns:a14="http://schemas.microsoft.com/office/drawing/2010/main" val="0"/>
                        </a:ext>
                      </a:extLst>
                    </a:blip>
                    <a:srcRect t="-40" r="52597" b="-40"/>
                    <a:stretch>
                      <a:fillRect/>
                    </a:stretch>
                  </pic:blipFill>
                  <pic:spPr bwMode="auto">
                    <a:xfrm>
                      <a:off x="0" y="0"/>
                      <a:ext cx="3797300" cy="3568700"/>
                    </a:xfrm>
                    <a:prstGeom prst="rect">
                      <a:avLst/>
                    </a:prstGeom>
                    <a:noFill/>
                    <a:ln>
                      <a:noFill/>
                    </a:ln>
                    <a:effectLst/>
                  </pic:spPr>
                </pic:pic>
              </a:graphicData>
            </a:graphic>
          </wp:inline>
        </w:drawing>
      </w:r>
    </w:p>
    <w:p w14:paraId="5C954F16" w14:textId="77777777" w:rsidR="00D96F43" w:rsidRDefault="00D96F43" w:rsidP="00B9432A">
      <w:pPr>
        <w:jc w:val="center"/>
        <w:rPr>
          <w:lang w:val="en-US"/>
        </w:rPr>
      </w:pPr>
      <w:r>
        <w:rPr>
          <w:lang w:val="en-US"/>
        </w:rPr>
        <w:t>Figure 3 - MBSFN simulation deployment: red cells: MBSFN; yellow cells: interfering</w:t>
      </w:r>
    </w:p>
    <w:p w14:paraId="6707D41C" w14:textId="77777777" w:rsidR="00D96F43" w:rsidRDefault="00D96F43" w:rsidP="00B9432A">
      <w:pPr>
        <w:rPr>
          <w:lang w:val="en-US"/>
        </w:rPr>
      </w:pPr>
    </w:p>
    <w:tbl>
      <w:tblPr>
        <w:tblW w:w="5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850"/>
        <w:gridCol w:w="851"/>
        <w:gridCol w:w="850"/>
      </w:tblGrid>
      <w:tr w:rsidR="00D96F43" w14:paraId="2777A718" w14:textId="77777777" w:rsidTr="00B9432A">
        <w:trPr>
          <w:jc w:val="center"/>
        </w:trPr>
        <w:tc>
          <w:tcPr>
            <w:tcW w:w="2802" w:type="dxa"/>
            <w:tcBorders>
              <w:top w:val="single" w:sz="4" w:space="0" w:color="auto"/>
              <w:left w:val="single" w:sz="4" w:space="0" w:color="auto"/>
              <w:bottom w:val="single" w:sz="4" w:space="0" w:color="auto"/>
              <w:right w:val="single" w:sz="4" w:space="0" w:color="auto"/>
            </w:tcBorders>
            <w:hideMark/>
          </w:tcPr>
          <w:p w14:paraId="32611D33" w14:textId="77777777" w:rsidR="00D96F43" w:rsidRDefault="00D96F43" w:rsidP="00D96F43">
            <w:pPr>
              <w:jc w:val="left"/>
              <w:rPr>
                <w:lang w:val="en-US"/>
              </w:rPr>
            </w:pPr>
            <w:r>
              <w:rPr>
                <w:lang w:val="en-US"/>
              </w:rPr>
              <w:t># MBSFN cells</w:t>
            </w:r>
          </w:p>
        </w:tc>
        <w:tc>
          <w:tcPr>
            <w:tcW w:w="850" w:type="dxa"/>
            <w:tcBorders>
              <w:top w:val="single" w:sz="4" w:space="0" w:color="auto"/>
              <w:left w:val="single" w:sz="4" w:space="0" w:color="auto"/>
              <w:bottom w:val="single" w:sz="4" w:space="0" w:color="auto"/>
              <w:right w:val="single" w:sz="4" w:space="0" w:color="auto"/>
            </w:tcBorders>
            <w:hideMark/>
          </w:tcPr>
          <w:p w14:paraId="52A9FE00" w14:textId="77777777" w:rsidR="00D96F43" w:rsidRDefault="00D96F43" w:rsidP="00D96F43">
            <w:pPr>
              <w:jc w:val="right"/>
              <w:rPr>
                <w:lang w:val="en-US"/>
              </w:rPr>
            </w:pPr>
            <w:r>
              <w:rPr>
                <w:lang w:val="en-US"/>
              </w:rPr>
              <w:t>1</w:t>
            </w:r>
          </w:p>
        </w:tc>
        <w:tc>
          <w:tcPr>
            <w:tcW w:w="851" w:type="dxa"/>
            <w:tcBorders>
              <w:top w:val="single" w:sz="4" w:space="0" w:color="auto"/>
              <w:left w:val="single" w:sz="4" w:space="0" w:color="auto"/>
              <w:bottom w:val="single" w:sz="4" w:space="0" w:color="auto"/>
              <w:right w:val="single" w:sz="4" w:space="0" w:color="auto"/>
            </w:tcBorders>
            <w:hideMark/>
          </w:tcPr>
          <w:p w14:paraId="5E8222FC" w14:textId="77777777" w:rsidR="00D96F43" w:rsidRDefault="00D96F43" w:rsidP="00D96F43">
            <w:pPr>
              <w:jc w:val="right"/>
              <w:rPr>
                <w:lang w:val="en-US"/>
              </w:rPr>
            </w:pPr>
            <w:r>
              <w:rPr>
                <w:lang w:val="en-US"/>
              </w:rPr>
              <w:t>7</w:t>
            </w:r>
          </w:p>
        </w:tc>
        <w:tc>
          <w:tcPr>
            <w:tcW w:w="850" w:type="dxa"/>
            <w:tcBorders>
              <w:top w:val="single" w:sz="4" w:space="0" w:color="auto"/>
              <w:left w:val="single" w:sz="4" w:space="0" w:color="auto"/>
              <w:bottom w:val="single" w:sz="4" w:space="0" w:color="auto"/>
              <w:right w:val="single" w:sz="4" w:space="0" w:color="auto"/>
            </w:tcBorders>
            <w:hideMark/>
          </w:tcPr>
          <w:p w14:paraId="41850759" w14:textId="77777777" w:rsidR="00D96F43" w:rsidRDefault="00D96F43" w:rsidP="00D96F43">
            <w:pPr>
              <w:jc w:val="right"/>
              <w:rPr>
                <w:lang w:val="en-US"/>
              </w:rPr>
            </w:pPr>
            <w:r>
              <w:rPr>
                <w:lang w:val="en-US"/>
              </w:rPr>
              <w:t>19</w:t>
            </w:r>
          </w:p>
        </w:tc>
      </w:tr>
      <w:tr w:rsidR="00D96F43" w14:paraId="6D8281CF" w14:textId="77777777" w:rsidTr="00B9432A">
        <w:trPr>
          <w:jc w:val="center"/>
        </w:trPr>
        <w:tc>
          <w:tcPr>
            <w:tcW w:w="2802" w:type="dxa"/>
            <w:tcBorders>
              <w:top w:val="single" w:sz="4" w:space="0" w:color="auto"/>
              <w:left w:val="single" w:sz="4" w:space="0" w:color="auto"/>
              <w:bottom w:val="single" w:sz="4" w:space="0" w:color="auto"/>
              <w:right w:val="single" w:sz="4" w:space="0" w:color="auto"/>
            </w:tcBorders>
            <w:hideMark/>
          </w:tcPr>
          <w:p w14:paraId="3451FB51" w14:textId="77777777" w:rsidR="00D96F43" w:rsidRDefault="00D96F43">
            <w:pPr>
              <w:jc w:val="left"/>
              <w:rPr>
                <w:lang w:val="en-US"/>
              </w:rPr>
            </w:pPr>
            <w:proofErr w:type="gramStart"/>
            <w:r>
              <w:rPr>
                <w:lang w:val="en-US"/>
              </w:rPr>
              <w:t>spectral</w:t>
            </w:r>
            <w:proofErr w:type="gramEnd"/>
            <w:r>
              <w:rPr>
                <w:lang w:val="en-US"/>
              </w:rPr>
              <w:t xml:space="preserve"> efficiency [b/s/Hz]</w:t>
            </w:r>
          </w:p>
        </w:tc>
        <w:tc>
          <w:tcPr>
            <w:tcW w:w="850" w:type="dxa"/>
            <w:tcBorders>
              <w:top w:val="single" w:sz="4" w:space="0" w:color="auto"/>
              <w:left w:val="single" w:sz="4" w:space="0" w:color="auto"/>
              <w:bottom w:val="single" w:sz="4" w:space="0" w:color="auto"/>
              <w:right w:val="single" w:sz="4" w:space="0" w:color="auto"/>
            </w:tcBorders>
          </w:tcPr>
          <w:p w14:paraId="482323B9" w14:textId="77777777" w:rsidR="00D96F43" w:rsidRDefault="009D4FBA" w:rsidP="00D96F43">
            <w:pPr>
              <w:jc w:val="right"/>
              <w:rPr>
                <w:lang w:val="en-US"/>
              </w:rPr>
            </w:pPr>
            <w:r>
              <w:rPr>
                <w:lang w:val="en-US"/>
              </w:rPr>
              <w:t>0.22</w:t>
            </w:r>
          </w:p>
        </w:tc>
        <w:tc>
          <w:tcPr>
            <w:tcW w:w="851" w:type="dxa"/>
            <w:tcBorders>
              <w:top w:val="single" w:sz="4" w:space="0" w:color="auto"/>
              <w:left w:val="single" w:sz="4" w:space="0" w:color="auto"/>
              <w:bottom w:val="single" w:sz="4" w:space="0" w:color="auto"/>
              <w:right w:val="single" w:sz="4" w:space="0" w:color="auto"/>
            </w:tcBorders>
          </w:tcPr>
          <w:p w14:paraId="071E4D1F" w14:textId="77777777" w:rsidR="00D96F43" w:rsidRDefault="009D4FBA" w:rsidP="00D96F43">
            <w:pPr>
              <w:jc w:val="right"/>
              <w:rPr>
                <w:lang w:val="en-US"/>
              </w:rPr>
            </w:pPr>
            <w:r>
              <w:rPr>
                <w:lang w:val="en-US"/>
              </w:rPr>
              <w:t>1.29</w:t>
            </w:r>
          </w:p>
        </w:tc>
        <w:tc>
          <w:tcPr>
            <w:tcW w:w="850" w:type="dxa"/>
            <w:tcBorders>
              <w:top w:val="single" w:sz="4" w:space="0" w:color="auto"/>
              <w:left w:val="single" w:sz="4" w:space="0" w:color="auto"/>
              <w:bottom w:val="single" w:sz="4" w:space="0" w:color="auto"/>
              <w:right w:val="single" w:sz="4" w:space="0" w:color="auto"/>
            </w:tcBorders>
          </w:tcPr>
          <w:p w14:paraId="30815ABB" w14:textId="77777777" w:rsidR="00D96F43" w:rsidRDefault="009D4FBA" w:rsidP="00D96F43">
            <w:pPr>
              <w:jc w:val="right"/>
              <w:rPr>
                <w:lang w:val="en-US"/>
              </w:rPr>
            </w:pPr>
            <w:r>
              <w:rPr>
                <w:lang w:val="en-US"/>
              </w:rPr>
              <w:t>1.64</w:t>
            </w:r>
          </w:p>
        </w:tc>
      </w:tr>
      <w:tr w:rsidR="00D96F43" w14:paraId="4314F671" w14:textId="77777777" w:rsidTr="00B9432A">
        <w:trPr>
          <w:jc w:val="center"/>
        </w:trPr>
        <w:tc>
          <w:tcPr>
            <w:tcW w:w="2802" w:type="dxa"/>
            <w:tcBorders>
              <w:top w:val="single" w:sz="4" w:space="0" w:color="auto"/>
              <w:left w:val="single" w:sz="4" w:space="0" w:color="auto"/>
              <w:bottom w:val="single" w:sz="4" w:space="0" w:color="auto"/>
              <w:right w:val="single" w:sz="4" w:space="0" w:color="auto"/>
            </w:tcBorders>
            <w:hideMark/>
          </w:tcPr>
          <w:p w14:paraId="42BAE626" w14:textId="77777777" w:rsidR="00D96F43" w:rsidRDefault="00D96F43" w:rsidP="00D96F43">
            <w:pPr>
              <w:jc w:val="left"/>
              <w:rPr>
                <w:lang w:val="en-US"/>
              </w:rPr>
            </w:pPr>
            <w:r>
              <w:rPr>
                <w:lang w:val="en-US"/>
              </w:rPr>
              <w:t xml:space="preserve"># </w:t>
            </w:r>
            <w:proofErr w:type="gramStart"/>
            <w:r>
              <w:rPr>
                <w:lang w:val="en-US"/>
              </w:rPr>
              <w:t>supporting</w:t>
            </w:r>
            <w:proofErr w:type="gramEnd"/>
            <w:r>
              <w:rPr>
                <w:lang w:val="en-US"/>
              </w:rPr>
              <w:t xml:space="preserve"> cell rings</w:t>
            </w:r>
          </w:p>
        </w:tc>
        <w:tc>
          <w:tcPr>
            <w:tcW w:w="850" w:type="dxa"/>
            <w:tcBorders>
              <w:top w:val="single" w:sz="4" w:space="0" w:color="auto"/>
              <w:left w:val="single" w:sz="4" w:space="0" w:color="auto"/>
              <w:bottom w:val="single" w:sz="4" w:space="0" w:color="auto"/>
              <w:right w:val="single" w:sz="4" w:space="0" w:color="auto"/>
            </w:tcBorders>
            <w:hideMark/>
          </w:tcPr>
          <w:p w14:paraId="171C14B4" w14:textId="77777777" w:rsidR="00D96F43" w:rsidRDefault="00D96F43" w:rsidP="00D96F43">
            <w:pPr>
              <w:jc w:val="right"/>
              <w:rPr>
                <w:lang w:val="en-US"/>
              </w:rPr>
            </w:pPr>
            <w:r>
              <w:rPr>
                <w:lang w:val="en-US"/>
              </w:rPr>
              <w:t>0</w:t>
            </w:r>
          </w:p>
        </w:tc>
        <w:tc>
          <w:tcPr>
            <w:tcW w:w="851" w:type="dxa"/>
            <w:tcBorders>
              <w:top w:val="single" w:sz="4" w:space="0" w:color="auto"/>
              <w:left w:val="single" w:sz="4" w:space="0" w:color="auto"/>
              <w:bottom w:val="single" w:sz="4" w:space="0" w:color="auto"/>
              <w:right w:val="single" w:sz="4" w:space="0" w:color="auto"/>
            </w:tcBorders>
            <w:hideMark/>
          </w:tcPr>
          <w:p w14:paraId="2B52E926" w14:textId="77777777" w:rsidR="00D96F43" w:rsidRDefault="00D96F43" w:rsidP="00D96F43">
            <w:pPr>
              <w:jc w:val="right"/>
              <w:rPr>
                <w:lang w:val="en-US"/>
              </w:rPr>
            </w:pPr>
            <w:r>
              <w:rPr>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26C733A5" w14:textId="77777777" w:rsidR="00D96F43" w:rsidRDefault="00D96F43" w:rsidP="00D96F43">
            <w:pPr>
              <w:jc w:val="right"/>
              <w:rPr>
                <w:lang w:val="en-US"/>
              </w:rPr>
            </w:pPr>
            <w:r>
              <w:rPr>
                <w:lang w:val="en-US"/>
              </w:rPr>
              <w:t>2</w:t>
            </w:r>
          </w:p>
        </w:tc>
      </w:tr>
    </w:tbl>
    <w:p w14:paraId="163F1B0E" w14:textId="77777777" w:rsidR="00D96F43" w:rsidRDefault="00D96F43" w:rsidP="00B9432A">
      <w:pPr>
        <w:jc w:val="center"/>
        <w:rPr>
          <w:lang w:val="en-US"/>
        </w:rPr>
      </w:pPr>
      <w:r>
        <w:rPr>
          <w:lang w:val="en-US"/>
        </w:rPr>
        <w:t>Table 1 - MBSFN simulation results</w:t>
      </w:r>
      <w:r w:rsidR="00B9432A">
        <w:rPr>
          <w:lang w:val="en-US"/>
        </w:rPr>
        <w:t xml:space="preserve"> without weighting</w:t>
      </w:r>
      <w:r w:rsidR="00555C52">
        <w:rPr>
          <w:lang w:val="en-US"/>
        </w:rPr>
        <w:t>, but users only located in center cell</w:t>
      </w:r>
    </w:p>
    <w:p w14:paraId="0DFD9EF0" w14:textId="77777777" w:rsidR="00D96F43" w:rsidRDefault="00D96F43" w:rsidP="00B9432A">
      <w:pPr>
        <w:rPr>
          <w:lang w:val="en-US"/>
        </w:rPr>
      </w:pPr>
    </w:p>
    <w:p w14:paraId="55C70F2A" w14:textId="77777777" w:rsidR="00D96F43" w:rsidRDefault="00D96F43" w:rsidP="00B9432A">
      <w:pPr>
        <w:rPr>
          <w:lang w:val="en-US"/>
        </w:rPr>
      </w:pPr>
      <w:r>
        <w:rPr>
          <w:lang w:val="en-US"/>
        </w:rPr>
        <w:t xml:space="preserve">Based on these results, we can calculate mean spectral efficiency over the entire MBSFN </w:t>
      </w:r>
      <w:proofErr w:type="spellStart"/>
      <w:r>
        <w:rPr>
          <w:lang w:val="en-US"/>
        </w:rPr>
        <w:t>area</w:t>
      </w:r>
      <w:proofErr w:type="gramStart"/>
      <w:r>
        <w:rPr>
          <w:lang w:val="en-US"/>
        </w:rPr>
        <w:t>,,</w:t>
      </w:r>
      <w:proofErr w:type="gramEnd"/>
      <w:r>
        <w:rPr>
          <w:lang w:val="en-US"/>
        </w:rPr>
        <w:t>as</w:t>
      </w:r>
      <w:proofErr w:type="spellEnd"/>
      <w:r>
        <w:rPr>
          <w:lang w:val="en-US"/>
        </w:rPr>
        <w:t xml:space="preserve"> the spectral effi</w:t>
      </w:r>
      <w:r w:rsidR="00146AFF">
        <w:rPr>
          <w:lang w:val="en-US"/>
        </w:rPr>
        <w:t>ci</w:t>
      </w:r>
      <w:r>
        <w:rPr>
          <w:lang w:val="en-US"/>
        </w:rPr>
        <w:t>ency for the respective number of supporting rings from Table 1 times the number of group cells divided by the total number of MBSFN cells</w:t>
      </w:r>
      <w:r w:rsidR="00555C52">
        <w:rPr>
          <w:lang w:val="en-US"/>
        </w:rPr>
        <w:t>.</w:t>
      </w:r>
    </w:p>
    <w:p w14:paraId="509D9E04" w14:textId="77777777" w:rsidR="00D96F43" w:rsidRDefault="00D96F43" w:rsidP="00B9432A">
      <w:pPr>
        <w:rPr>
          <w:lang w:val="en-US"/>
        </w:rPr>
      </w:pPr>
      <w:r>
        <w:rPr>
          <w:lang w:val="en-US"/>
        </w:rPr>
        <w:t>In Table 2, we have extended this methodology to the case where the group users are distributed in multiple cells in the center of the MBSFN, assuming that for the spectral efficiency result of Table 1 the most ch</w:t>
      </w:r>
      <w:r w:rsidR="00133D1A">
        <w:rPr>
          <w:lang w:val="en-US"/>
        </w:rPr>
        <w:t>a</w:t>
      </w:r>
      <w:r>
        <w:rPr>
          <w:lang w:val="en-US"/>
        </w:rPr>
        <w:t xml:space="preserve">racteristic property is not the # cells in the MBSFN but the # rings of supporting cells. </w:t>
      </w:r>
      <w:r w:rsidR="009D4FBA">
        <w:rPr>
          <w:lang w:val="en-US"/>
        </w:rPr>
        <w:t>We do this only for the cases of 1 and 2 supporting rings,</w:t>
      </w:r>
      <w:r w:rsidR="002F07E0">
        <w:rPr>
          <w:lang w:val="en-US"/>
        </w:rPr>
        <w:t xml:space="preserve"> not for zero supporting rings, </w:t>
      </w:r>
      <w:r w:rsidR="009D4FBA">
        <w:rPr>
          <w:lang w:val="en-US"/>
        </w:rPr>
        <w:t xml:space="preserve">because this </w:t>
      </w:r>
      <w:r w:rsidR="002F07E0">
        <w:rPr>
          <w:lang w:val="en-US"/>
        </w:rPr>
        <w:t>achieved very low spectral efficiency in Table 1.</w:t>
      </w:r>
    </w:p>
    <w:p w14:paraId="49C3DE89" w14:textId="77777777" w:rsidR="00D96F43" w:rsidRDefault="00790B48" w:rsidP="00553B28">
      <w:pPr>
        <w:ind w:left="1440" w:hanging="1440"/>
        <w:rPr>
          <w:lang w:val="en-US"/>
        </w:rPr>
      </w:pPr>
      <w:r>
        <w:rPr>
          <w:lang w:val="en-US"/>
        </w:rPr>
        <w:t xml:space="preserve">Group cell: </w:t>
      </w:r>
      <w:r w:rsidR="004C3894">
        <w:rPr>
          <w:lang w:val="en-US"/>
        </w:rPr>
        <w:tab/>
      </w:r>
      <w:r>
        <w:rPr>
          <w:lang w:val="en-US"/>
        </w:rPr>
        <w:t>cell that contains at least one group member</w:t>
      </w:r>
      <w:r w:rsidR="004C3894">
        <w:rPr>
          <w:lang w:val="en-US"/>
        </w:rPr>
        <w:t xml:space="preserve">; </w:t>
      </w:r>
      <w:r w:rsidR="004C3894">
        <w:rPr>
          <w:lang w:val="en-US"/>
        </w:rPr>
        <w:br/>
        <w:t>in such a cell, SC-PTM transmission would be active</w:t>
      </w:r>
    </w:p>
    <w:p w14:paraId="7A3D1ADD" w14:textId="77777777" w:rsidR="00790B48" w:rsidRDefault="00790B48" w:rsidP="00553B28">
      <w:pPr>
        <w:ind w:left="1440" w:hanging="1440"/>
        <w:rPr>
          <w:lang w:val="en-US"/>
        </w:rPr>
      </w:pPr>
      <w:r>
        <w:rPr>
          <w:lang w:val="en-US"/>
        </w:rPr>
        <w:t xml:space="preserve">Supporting cell: </w:t>
      </w:r>
      <w:r w:rsidR="004C3894">
        <w:rPr>
          <w:lang w:val="en-US"/>
        </w:rPr>
        <w:tab/>
      </w:r>
      <w:r>
        <w:rPr>
          <w:lang w:val="en-US"/>
        </w:rPr>
        <w:t>cell that participates in the MBSFN transmission, but do</w:t>
      </w:r>
      <w:r w:rsidR="004C3894">
        <w:rPr>
          <w:lang w:val="en-US"/>
        </w:rPr>
        <w:t>es not contain any group members; in such a cell SC-PTM transmission would be switched off</w:t>
      </w:r>
    </w:p>
    <w:p w14:paraId="153C7C1C" w14:textId="77777777" w:rsidR="00790B48" w:rsidRDefault="00790B48" w:rsidP="00553B28">
      <w:pPr>
        <w:ind w:left="1800" w:hanging="1800"/>
        <w:rPr>
          <w:lang w:val="en-US"/>
        </w:rPr>
      </w:pPr>
      <w:r>
        <w:rPr>
          <w:lang w:val="en-US"/>
        </w:rPr>
        <w:t>Supporting cell ring: tier around the group cell</w:t>
      </w:r>
      <w:r w:rsidR="004C3894">
        <w:rPr>
          <w:lang w:val="en-US"/>
        </w:rPr>
        <w:t>(s)</w:t>
      </w:r>
      <w:r w:rsidR="001A37E4">
        <w:rPr>
          <w:lang w:val="en-US"/>
        </w:rPr>
        <w:t xml:space="preserve"> </w:t>
      </w:r>
      <w:r w:rsidR="001A37E4">
        <w:rPr>
          <w:lang w:val="en-US"/>
        </w:rPr>
        <w:br/>
      </w:r>
      <w:r w:rsidR="001A37E4" w:rsidRPr="001A37E4">
        <w:rPr>
          <w:lang w:val="en-US"/>
        </w:rPr>
        <w:sym w:font="Wingdings" w:char="F0E0"/>
      </w:r>
      <w:r w:rsidR="001A37E4">
        <w:rPr>
          <w:lang w:val="en-US"/>
        </w:rPr>
        <w:t xml:space="preserve"> homogenous interference protection at the MBSFN area border</w:t>
      </w:r>
    </w:p>
    <w:p w14:paraId="4C720055" w14:textId="77777777" w:rsidR="00D96F43" w:rsidRDefault="00D96F43" w:rsidP="00B9432A">
      <w:pPr>
        <w:rPr>
          <w:lang w:val="en-US"/>
        </w:rPr>
      </w:pPr>
      <w:r>
        <w:rPr>
          <w:lang w:val="en-US"/>
        </w:rPr>
        <w:t>.</w:t>
      </w:r>
    </w:p>
    <w:tbl>
      <w:tblPr>
        <w:tblW w:w="9100" w:type="dxa"/>
        <w:tblInd w:w="93" w:type="dxa"/>
        <w:tblLook w:val="04A0" w:firstRow="1" w:lastRow="0" w:firstColumn="1" w:lastColumn="0" w:noHBand="0" w:noVBand="1"/>
      </w:tblPr>
      <w:tblGrid>
        <w:gridCol w:w="2800"/>
        <w:gridCol w:w="700"/>
        <w:gridCol w:w="700"/>
        <w:gridCol w:w="700"/>
        <w:gridCol w:w="700"/>
        <w:gridCol w:w="700"/>
        <w:gridCol w:w="700"/>
        <w:gridCol w:w="700"/>
        <w:gridCol w:w="700"/>
        <w:gridCol w:w="700"/>
      </w:tblGrid>
      <w:tr w:rsidR="004914B2" w:rsidRPr="004914B2" w14:paraId="24D6F488" w14:textId="77777777" w:rsidTr="004914B2">
        <w:trPr>
          <w:trHeight w:val="300"/>
        </w:trPr>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83A5A1" w14:textId="77777777" w:rsidR="004914B2" w:rsidRPr="004914B2" w:rsidRDefault="004914B2" w:rsidP="004914B2">
            <w:pPr>
              <w:overflowPunct/>
              <w:autoSpaceDE/>
              <w:autoSpaceDN/>
              <w:adjustRightInd/>
              <w:spacing w:after="0"/>
              <w:jc w:val="lef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 xml:space="preserve"># </w:t>
            </w:r>
            <w:proofErr w:type="gramStart"/>
            <w:r w:rsidRPr="004914B2">
              <w:rPr>
                <w:rFonts w:ascii="Calibri" w:hAnsi="Calibri"/>
                <w:color w:val="000000"/>
                <w:sz w:val="22"/>
                <w:szCs w:val="22"/>
                <w:lang w:val="en-US" w:eastAsia="en-US"/>
              </w:rPr>
              <w:t>group</w:t>
            </w:r>
            <w:proofErr w:type="gramEnd"/>
            <w:r w:rsidRPr="004914B2">
              <w:rPr>
                <w:rFonts w:ascii="Calibri" w:hAnsi="Calibri"/>
                <w:color w:val="000000"/>
                <w:sz w:val="22"/>
                <w:szCs w:val="22"/>
                <w:lang w:val="en-US" w:eastAsia="en-US"/>
              </w:rPr>
              <w:t xml:space="preserve"> cells</w:t>
            </w:r>
          </w:p>
        </w:tc>
        <w:tc>
          <w:tcPr>
            <w:tcW w:w="700" w:type="dxa"/>
            <w:tcBorders>
              <w:top w:val="single" w:sz="4" w:space="0" w:color="auto"/>
              <w:left w:val="nil"/>
              <w:bottom w:val="single" w:sz="4" w:space="0" w:color="auto"/>
              <w:right w:val="single" w:sz="4" w:space="0" w:color="auto"/>
            </w:tcBorders>
            <w:shd w:val="clear" w:color="auto" w:fill="auto"/>
            <w:noWrap/>
            <w:vAlign w:val="bottom"/>
            <w:hideMark/>
          </w:tcPr>
          <w:p w14:paraId="7175E8C7"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1</w:t>
            </w:r>
          </w:p>
        </w:tc>
        <w:tc>
          <w:tcPr>
            <w:tcW w:w="700" w:type="dxa"/>
            <w:tcBorders>
              <w:top w:val="single" w:sz="4" w:space="0" w:color="auto"/>
              <w:left w:val="nil"/>
              <w:bottom w:val="single" w:sz="4" w:space="0" w:color="auto"/>
              <w:right w:val="single" w:sz="4" w:space="0" w:color="auto"/>
            </w:tcBorders>
            <w:shd w:val="clear" w:color="auto" w:fill="auto"/>
            <w:noWrap/>
            <w:vAlign w:val="bottom"/>
            <w:hideMark/>
          </w:tcPr>
          <w:p w14:paraId="53700B95"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1</w:t>
            </w:r>
          </w:p>
        </w:tc>
        <w:tc>
          <w:tcPr>
            <w:tcW w:w="700" w:type="dxa"/>
            <w:tcBorders>
              <w:top w:val="single" w:sz="4" w:space="0" w:color="auto"/>
              <w:left w:val="nil"/>
              <w:bottom w:val="single" w:sz="4" w:space="0" w:color="auto"/>
              <w:right w:val="single" w:sz="4" w:space="0" w:color="auto"/>
            </w:tcBorders>
            <w:shd w:val="clear" w:color="auto" w:fill="auto"/>
            <w:noWrap/>
            <w:vAlign w:val="bottom"/>
            <w:hideMark/>
          </w:tcPr>
          <w:p w14:paraId="0C79458C"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1</w:t>
            </w:r>
          </w:p>
        </w:tc>
        <w:tc>
          <w:tcPr>
            <w:tcW w:w="700" w:type="dxa"/>
            <w:tcBorders>
              <w:top w:val="single" w:sz="4" w:space="0" w:color="auto"/>
              <w:left w:val="nil"/>
              <w:bottom w:val="single" w:sz="4" w:space="0" w:color="auto"/>
              <w:right w:val="single" w:sz="4" w:space="0" w:color="auto"/>
            </w:tcBorders>
            <w:shd w:val="clear" w:color="auto" w:fill="auto"/>
            <w:noWrap/>
            <w:vAlign w:val="bottom"/>
            <w:hideMark/>
          </w:tcPr>
          <w:p w14:paraId="236DCD59"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3</w:t>
            </w:r>
          </w:p>
        </w:tc>
        <w:tc>
          <w:tcPr>
            <w:tcW w:w="700" w:type="dxa"/>
            <w:tcBorders>
              <w:top w:val="single" w:sz="4" w:space="0" w:color="auto"/>
              <w:left w:val="nil"/>
              <w:bottom w:val="single" w:sz="4" w:space="0" w:color="auto"/>
              <w:right w:val="single" w:sz="4" w:space="0" w:color="auto"/>
            </w:tcBorders>
            <w:shd w:val="clear" w:color="auto" w:fill="auto"/>
            <w:noWrap/>
            <w:vAlign w:val="bottom"/>
            <w:hideMark/>
          </w:tcPr>
          <w:p w14:paraId="466B9FBB"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3</w:t>
            </w:r>
          </w:p>
        </w:tc>
        <w:tc>
          <w:tcPr>
            <w:tcW w:w="700" w:type="dxa"/>
            <w:tcBorders>
              <w:top w:val="single" w:sz="4" w:space="0" w:color="auto"/>
              <w:left w:val="nil"/>
              <w:bottom w:val="single" w:sz="4" w:space="0" w:color="auto"/>
              <w:right w:val="single" w:sz="4" w:space="0" w:color="auto"/>
            </w:tcBorders>
            <w:shd w:val="clear" w:color="auto" w:fill="auto"/>
            <w:noWrap/>
            <w:vAlign w:val="bottom"/>
            <w:hideMark/>
          </w:tcPr>
          <w:p w14:paraId="29DB9EF4"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7</w:t>
            </w:r>
          </w:p>
        </w:tc>
        <w:tc>
          <w:tcPr>
            <w:tcW w:w="700" w:type="dxa"/>
            <w:tcBorders>
              <w:top w:val="single" w:sz="4" w:space="0" w:color="auto"/>
              <w:left w:val="nil"/>
              <w:bottom w:val="single" w:sz="4" w:space="0" w:color="auto"/>
              <w:right w:val="single" w:sz="4" w:space="0" w:color="auto"/>
            </w:tcBorders>
            <w:shd w:val="clear" w:color="auto" w:fill="auto"/>
            <w:noWrap/>
            <w:vAlign w:val="bottom"/>
            <w:hideMark/>
          </w:tcPr>
          <w:p w14:paraId="696DBE32"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7</w:t>
            </w:r>
          </w:p>
        </w:tc>
        <w:tc>
          <w:tcPr>
            <w:tcW w:w="700" w:type="dxa"/>
            <w:tcBorders>
              <w:top w:val="single" w:sz="4" w:space="0" w:color="auto"/>
              <w:left w:val="nil"/>
              <w:bottom w:val="single" w:sz="4" w:space="0" w:color="auto"/>
              <w:right w:val="single" w:sz="4" w:space="0" w:color="auto"/>
            </w:tcBorders>
            <w:shd w:val="clear" w:color="auto" w:fill="auto"/>
            <w:noWrap/>
            <w:vAlign w:val="bottom"/>
            <w:hideMark/>
          </w:tcPr>
          <w:p w14:paraId="32266FEA"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19</w:t>
            </w:r>
          </w:p>
        </w:tc>
        <w:tc>
          <w:tcPr>
            <w:tcW w:w="700" w:type="dxa"/>
            <w:tcBorders>
              <w:top w:val="single" w:sz="4" w:space="0" w:color="auto"/>
              <w:left w:val="nil"/>
              <w:bottom w:val="single" w:sz="4" w:space="0" w:color="auto"/>
              <w:right w:val="single" w:sz="4" w:space="0" w:color="auto"/>
            </w:tcBorders>
            <w:shd w:val="clear" w:color="auto" w:fill="auto"/>
            <w:noWrap/>
            <w:vAlign w:val="bottom"/>
            <w:hideMark/>
          </w:tcPr>
          <w:p w14:paraId="07A01F21"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19</w:t>
            </w:r>
          </w:p>
        </w:tc>
      </w:tr>
      <w:tr w:rsidR="004914B2" w:rsidRPr="004914B2" w14:paraId="4B5D1580" w14:textId="77777777" w:rsidTr="004914B2">
        <w:trPr>
          <w:trHeight w:val="300"/>
        </w:trPr>
        <w:tc>
          <w:tcPr>
            <w:tcW w:w="2800" w:type="dxa"/>
            <w:tcBorders>
              <w:top w:val="nil"/>
              <w:left w:val="single" w:sz="4" w:space="0" w:color="auto"/>
              <w:bottom w:val="single" w:sz="4" w:space="0" w:color="auto"/>
              <w:right w:val="single" w:sz="4" w:space="0" w:color="auto"/>
            </w:tcBorders>
            <w:shd w:val="clear" w:color="auto" w:fill="auto"/>
            <w:noWrap/>
            <w:vAlign w:val="bottom"/>
            <w:hideMark/>
          </w:tcPr>
          <w:p w14:paraId="656FBA14" w14:textId="77777777" w:rsidR="004914B2" w:rsidRPr="004914B2" w:rsidRDefault="004914B2" w:rsidP="004914B2">
            <w:pPr>
              <w:overflowPunct/>
              <w:autoSpaceDE/>
              <w:autoSpaceDN/>
              <w:adjustRightInd/>
              <w:spacing w:after="0"/>
              <w:jc w:val="lef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 xml:space="preserve"># </w:t>
            </w:r>
            <w:proofErr w:type="gramStart"/>
            <w:r w:rsidRPr="004914B2">
              <w:rPr>
                <w:rFonts w:ascii="Calibri" w:hAnsi="Calibri"/>
                <w:color w:val="000000"/>
                <w:sz w:val="22"/>
                <w:szCs w:val="22"/>
                <w:lang w:val="en-US" w:eastAsia="en-US"/>
              </w:rPr>
              <w:t>supporting</w:t>
            </w:r>
            <w:proofErr w:type="gramEnd"/>
            <w:r w:rsidRPr="004914B2">
              <w:rPr>
                <w:rFonts w:ascii="Calibri" w:hAnsi="Calibri"/>
                <w:color w:val="000000"/>
                <w:sz w:val="22"/>
                <w:szCs w:val="22"/>
                <w:lang w:val="en-US" w:eastAsia="en-US"/>
              </w:rPr>
              <w:t xml:space="preserve"> cell rings</w:t>
            </w:r>
          </w:p>
        </w:tc>
        <w:tc>
          <w:tcPr>
            <w:tcW w:w="700" w:type="dxa"/>
            <w:tcBorders>
              <w:top w:val="nil"/>
              <w:left w:val="nil"/>
              <w:bottom w:val="single" w:sz="4" w:space="0" w:color="auto"/>
              <w:right w:val="single" w:sz="4" w:space="0" w:color="auto"/>
            </w:tcBorders>
            <w:shd w:val="clear" w:color="auto" w:fill="auto"/>
            <w:noWrap/>
            <w:vAlign w:val="bottom"/>
            <w:hideMark/>
          </w:tcPr>
          <w:p w14:paraId="0A4285B5"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0</w:t>
            </w:r>
          </w:p>
        </w:tc>
        <w:tc>
          <w:tcPr>
            <w:tcW w:w="700" w:type="dxa"/>
            <w:tcBorders>
              <w:top w:val="nil"/>
              <w:left w:val="nil"/>
              <w:bottom w:val="single" w:sz="4" w:space="0" w:color="auto"/>
              <w:right w:val="single" w:sz="4" w:space="0" w:color="auto"/>
            </w:tcBorders>
            <w:shd w:val="clear" w:color="auto" w:fill="auto"/>
            <w:noWrap/>
            <w:vAlign w:val="bottom"/>
            <w:hideMark/>
          </w:tcPr>
          <w:p w14:paraId="35102E92"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1</w:t>
            </w:r>
          </w:p>
        </w:tc>
        <w:tc>
          <w:tcPr>
            <w:tcW w:w="700" w:type="dxa"/>
            <w:tcBorders>
              <w:top w:val="nil"/>
              <w:left w:val="nil"/>
              <w:bottom w:val="single" w:sz="4" w:space="0" w:color="auto"/>
              <w:right w:val="single" w:sz="4" w:space="0" w:color="auto"/>
            </w:tcBorders>
            <w:shd w:val="clear" w:color="auto" w:fill="auto"/>
            <w:noWrap/>
            <w:vAlign w:val="bottom"/>
            <w:hideMark/>
          </w:tcPr>
          <w:p w14:paraId="48D76B42"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2</w:t>
            </w:r>
          </w:p>
        </w:tc>
        <w:tc>
          <w:tcPr>
            <w:tcW w:w="700" w:type="dxa"/>
            <w:tcBorders>
              <w:top w:val="nil"/>
              <w:left w:val="nil"/>
              <w:bottom w:val="single" w:sz="4" w:space="0" w:color="auto"/>
              <w:right w:val="single" w:sz="4" w:space="0" w:color="auto"/>
            </w:tcBorders>
            <w:shd w:val="clear" w:color="auto" w:fill="auto"/>
            <w:noWrap/>
            <w:vAlign w:val="bottom"/>
            <w:hideMark/>
          </w:tcPr>
          <w:p w14:paraId="0B3AA31D"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1</w:t>
            </w:r>
          </w:p>
        </w:tc>
        <w:tc>
          <w:tcPr>
            <w:tcW w:w="700" w:type="dxa"/>
            <w:tcBorders>
              <w:top w:val="nil"/>
              <w:left w:val="nil"/>
              <w:bottom w:val="single" w:sz="4" w:space="0" w:color="auto"/>
              <w:right w:val="single" w:sz="4" w:space="0" w:color="auto"/>
            </w:tcBorders>
            <w:shd w:val="clear" w:color="auto" w:fill="auto"/>
            <w:noWrap/>
            <w:vAlign w:val="bottom"/>
            <w:hideMark/>
          </w:tcPr>
          <w:p w14:paraId="639044BB"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2</w:t>
            </w:r>
          </w:p>
        </w:tc>
        <w:tc>
          <w:tcPr>
            <w:tcW w:w="700" w:type="dxa"/>
            <w:tcBorders>
              <w:top w:val="nil"/>
              <w:left w:val="nil"/>
              <w:bottom w:val="single" w:sz="4" w:space="0" w:color="auto"/>
              <w:right w:val="single" w:sz="4" w:space="0" w:color="auto"/>
            </w:tcBorders>
            <w:shd w:val="clear" w:color="auto" w:fill="auto"/>
            <w:noWrap/>
            <w:vAlign w:val="bottom"/>
            <w:hideMark/>
          </w:tcPr>
          <w:p w14:paraId="30A9B8CA"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1</w:t>
            </w:r>
          </w:p>
        </w:tc>
        <w:tc>
          <w:tcPr>
            <w:tcW w:w="700" w:type="dxa"/>
            <w:tcBorders>
              <w:top w:val="nil"/>
              <w:left w:val="nil"/>
              <w:bottom w:val="single" w:sz="4" w:space="0" w:color="auto"/>
              <w:right w:val="single" w:sz="4" w:space="0" w:color="auto"/>
            </w:tcBorders>
            <w:shd w:val="clear" w:color="auto" w:fill="auto"/>
            <w:noWrap/>
            <w:vAlign w:val="bottom"/>
            <w:hideMark/>
          </w:tcPr>
          <w:p w14:paraId="7A22E4B6"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2</w:t>
            </w:r>
          </w:p>
        </w:tc>
        <w:tc>
          <w:tcPr>
            <w:tcW w:w="700" w:type="dxa"/>
            <w:tcBorders>
              <w:top w:val="nil"/>
              <w:left w:val="nil"/>
              <w:bottom w:val="single" w:sz="4" w:space="0" w:color="auto"/>
              <w:right w:val="single" w:sz="4" w:space="0" w:color="auto"/>
            </w:tcBorders>
            <w:shd w:val="clear" w:color="auto" w:fill="auto"/>
            <w:noWrap/>
            <w:vAlign w:val="bottom"/>
            <w:hideMark/>
          </w:tcPr>
          <w:p w14:paraId="27AD1753"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1</w:t>
            </w:r>
          </w:p>
        </w:tc>
        <w:tc>
          <w:tcPr>
            <w:tcW w:w="700" w:type="dxa"/>
            <w:tcBorders>
              <w:top w:val="nil"/>
              <w:left w:val="nil"/>
              <w:bottom w:val="single" w:sz="4" w:space="0" w:color="auto"/>
              <w:right w:val="single" w:sz="4" w:space="0" w:color="auto"/>
            </w:tcBorders>
            <w:shd w:val="clear" w:color="auto" w:fill="auto"/>
            <w:noWrap/>
            <w:vAlign w:val="bottom"/>
            <w:hideMark/>
          </w:tcPr>
          <w:p w14:paraId="366492B6"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2</w:t>
            </w:r>
          </w:p>
        </w:tc>
      </w:tr>
      <w:tr w:rsidR="004914B2" w:rsidRPr="004914B2" w14:paraId="13DD7E50" w14:textId="77777777" w:rsidTr="004914B2">
        <w:trPr>
          <w:trHeight w:val="300"/>
        </w:trPr>
        <w:tc>
          <w:tcPr>
            <w:tcW w:w="2800" w:type="dxa"/>
            <w:tcBorders>
              <w:top w:val="nil"/>
              <w:left w:val="single" w:sz="4" w:space="0" w:color="auto"/>
              <w:bottom w:val="single" w:sz="4" w:space="0" w:color="auto"/>
              <w:right w:val="single" w:sz="4" w:space="0" w:color="auto"/>
            </w:tcBorders>
            <w:shd w:val="clear" w:color="auto" w:fill="auto"/>
            <w:noWrap/>
            <w:vAlign w:val="bottom"/>
            <w:hideMark/>
          </w:tcPr>
          <w:p w14:paraId="4D0EB0FB" w14:textId="77777777" w:rsidR="004914B2" w:rsidRPr="004914B2" w:rsidRDefault="004914B2" w:rsidP="004914B2">
            <w:pPr>
              <w:overflowPunct/>
              <w:autoSpaceDE/>
              <w:autoSpaceDN/>
              <w:adjustRightInd/>
              <w:spacing w:after="0"/>
              <w:jc w:val="lef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 xml:space="preserve"># </w:t>
            </w:r>
            <w:proofErr w:type="gramStart"/>
            <w:r w:rsidRPr="004914B2">
              <w:rPr>
                <w:rFonts w:ascii="Calibri" w:hAnsi="Calibri"/>
                <w:color w:val="000000"/>
                <w:sz w:val="22"/>
                <w:szCs w:val="22"/>
                <w:lang w:val="en-US" w:eastAsia="en-US"/>
              </w:rPr>
              <w:t>supporting</w:t>
            </w:r>
            <w:proofErr w:type="gramEnd"/>
            <w:r w:rsidRPr="004914B2">
              <w:rPr>
                <w:rFonts w:ascii="Calibri" w:hAnsi="Calibri"/>
                <w:color w:val="000000"/>
                <w:sz w:val="22"/>
                <w:szCs w:val="22"/>
                <w:lang w:val="en-US" w:eastAsia="en-US"/>
              </w:rPr>
              <w:t xml:space="preserve"> cells</w:t>
            </w:r>
          </w:p>
        </w:tc>
        <w:tc>
          <w:tcPr>
            <w:tcW w:w="700" w:type="dxa"/>
            <w:tcBorders>
              <w:top w:val="nil"/>
              <w:left w:val="nil"/>
              <w:bottom w:val="single" w:sz="4" w:space="0" w:color="auto"/>
              <w:right w:val="single" w:sz="4" w:space="0" w:color="auto"/>
            </w:tcBorders>
            <w:shd w:val="clear" w:color="auto" w:fill="auto"/>
            <w:noWrap/>
            <w:vAlign w:val="bottom"/>
            <w:hideMark/>
          </w:tcPr>
          <w:p w14:paraId="47A87316"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0</w:t>
            </w:r>
          </w:p>
        </w:tc>
        <w:tc>
          <w:tcPr>
            <w:tcW w:w="700" w:type="dxa"/>
            <w:tcBorders>
              <w:top w:val="nil"/>
              <w:left w:val="nil"/>
              <w:bottom w:val="single" w:sz="4" w:space="0" w:color="auto"/>
              <w:right w:val="single" w:sz="4" w:space="0" w:color="auto"/>
            </w:tcBorders>
            <w:shd w:val="clear" w:color="auto" w:fill="auto"/>
            <w:noWrap/>
            <w:vAlign w:val="bottom"/>
            <w:hideMark/>
          </w:tcPr>
          <w:p w14:paraId="2453EE08"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6</w:t>
            </w:r>
          </w:p>
        </w:tc>
        <w:tc>
          <w:tcPr>
            <w:tcW w:w="700" w:type="dxa"/>
            <w:tcBorders>
              <w:top w:val="nil"/>
              <w:left w:val="nil"/>
              <w:bottom w:val="single" w:sz="4" w:space="0" w:color="auto"/>
              <w:right w:val="single" w:sz="4" w:space="0" w:color="auto"/>
            </w:tcBorders>
            <w:shd w:val="clear" w:color="auto" w:fill="auto"/>
            <w:noWrap/>
            <w:vAlign w:val="bottom"/>
            <w:hideMark/>
          </w:tcPr>
          <w:p w14:paraId="42DF76FB"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18</w:t>
            </w:r>
          </w:p>
        </w:tc>
        <w:tc>
          <w:tcPr>
            <w:tcW w:w="700" w:type="dxa"/>
            <w:tcBorders>
              <w:top w:val="nil"/>
              <w:left w:val="nil"/>
              <w:bottom w:val="single" w:sz="4" w:space="0" w:color="auto"/>
              <w:right w:val="single" w:sz="4" w:space="0" w:color="auto"/>
            </w:tcBorders>
            <w:shd w:val="clear" w:color="auto" w:fill="auto"/>
            <w:noWrap/>
            <w:vAlign w:val="bottom"/>
            <w:hideMark/>
          </w:tcPr>
          <w:p w14:paraId="11E45F5E"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9</w:t>
            </w:r>
          </w:p>
        </w:tc>
        <w:tc>
          <w:tcPr>
            <w:tcW w:w="700" w:type="dxa"/>
            <w:tcBorders>
              <w:top w:val="nil"/>
              <w:left w:val="nil"/>
              <w:bottom w:val="single" w:sz="4" w:space="0" w:color="auto"/>
              <w:right w:val="single" w:sz="4" w:space="0" w:color="auto"/>
            </w:tcBorders>
            <w:shd w:val="clear" w:color="auto" w:fill="auto"/>
            <w:noWrap/>
            <w:vAlign w:val="bottom"/>
            <w:hideMark/>
          </w:tcPr>
          <w:p w14:paraId="012B4702"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24</w:t>
            </w:r>
          </w:p>
        </w:tc>
        <w:tc>
          <w:tcPr>
            <w:tcW w:w="700" w:type="dxa"/>
            <w:tcBorders>
              <w:top w:val="nil"/>
              <w:left w:val="nil"/>
              <w:bottom w:val="single" w:sz="4" w:space="0" w:color="auto"/>
              <w:right w:val="single" w:sz="4" w:space="0" w:color="auto"/>
            </w:tcBorders>
            <w:shd w:val="clear" w:color="auto" w:fill="auto"/>
            <w:noWrap/>
            <w:vAlign w:val="bottom"/>
            <w:hideMark/>
          </w:tcPr>
          <w:p w14:paraId="744FD17E"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12</w:t>
            </w:r>
          </w:p>
        </w:tc>
        <w:tc>
          <w:tcPr>
            <w:tcW w:w="700" w:type="dxa"/>
            <w:tcBorders>
              <w:top w:val="nil"/>
              <w:left w:val="nil"/>
              <w:bottom w:val="single" w:sz="4" w:space="0" w:color="auto"/>
              <w:right w:val="single" w:sz="4" w:space="0" w:color="auto"/>
            </w:tcBorders>
            <w:shd w:val="clear" w:color="auto" w:fill="auto"/>
            <w:noWrap/>
            <w:vAlign w:val="bottom"/>
            <w:hideMark/>
          </w:tcPr>
          <w:p w14:paraId="3524D0B4"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30</w:t>
            </w:r>
          </w:p>
        </w:tc>
        <w:tc>
          <w:tcPr>
            <w:tcW w:w="700" w:type="dxa"/>
            <w:tcBorders>
              <w:top w:val="nil"/>
              <w:left w:val="nil"/>
              <w:bottom w:val="single" w:sz="4" w:space="0" w:color="auto"/>
              <w:right w:val="single" w:sz="4" w:space="0" w:color="auto"/>
            </w:tcBorders>
            <w:shd w:val="clear" w:color="auto" w:fill="auto"/>
            <w:noWrap/>
            <w:vAlign w:val="bottom"/>
            <w:hideMark/>
          </w:tcPr>
          <w:p w14:paraId="6067470E"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18</w:t>
            </w:r>
          </w:p>
        </w:tc>
        <w:tc>
          <w:tcPr>
            <w:tcW w:w="700" w:type="dxa"/>
            <w:tcBorders>
              <w:top w:val="nil"/>
              <w:left w:val="nil"/>
              <w:bottom w:val="single" w:sz="4" w:space="0" w:color="auto"/>
              <w:right w:val="single" w:sz="4" w:space="0" w:color="auto"/>
            </w:tcBorders>
            <w:shd w:val="clear" w:color="auto" w:fill="auto"/>
            <w:noWrap/>
            <w:vAlign w:val="bottom"/>
            <w:hideMark/>
          </w:tcPr>
          <w:p w14:paraId="751DD0BB"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42</w:t>
            </w:r>
          </w:p>
        </w:tc>
      </w:tr>
      <w:tr w:rsidR="004914B2" w:rsidRPr="004914B2" w14:paraId="0E16F3C7" w14:textId="77777777" w:rsidTr="004914B2">
        <w:trPr>
          <w:trHeight w:val="300"/>
        </w:trPr>
        <w:tc>
          <w:tcPr>
            <w:tcW w:w="2800" w:type="dxa"/>
            <w:tcBorders>
              <w:top w:val="nil"/>
              <w:left w:val="single" w:sz="4" w:space="0" w:color="auto"/>
              <w:bottom w:val="single" w:sz="4" w:space="0" w:color="auto"/>
              <w:right w:val="single" w:sz="4" w:space="0" w:color="auto"/>
            </w:tcBorders>
            <w:shd w:val="clear" w:color="auto" w:fill="auto"/>
            <w:noWrap/>
            <w:vAlign w:val="bottom"/>
            <w:hideMark/>
          </w:tcPr>
          <w:p w14:paraId="33437797" w14:textId="77777777" w:rsidR="004914B2" w:rsidRPr="004914B2" w:rsidRDefault="004914B2" w:rsidP="004914B2">
            <w:pPr>
              <w:overflowPunct/>
              <w:autoSpaceDE/>
              <w:autoSpaceDN/>
              <w:adjustRightInd/>
              <w:spacing w:after="0"/>
              <w:jc w:val="lef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 MBSFN cells</w:t>
            </w:r>
          </w:p>
        </w:tc>
        <w:tc>
          <w:tcPr>
            <w:tcW w:w="700" w:type="dxa"/>
            <w:tcBorders>
              <w:top w:val="nil"/>
              <w:left w:val="nil"/>
              <w:bottom w:val="single" w:sz="4" w:space="0" w:color="auto"/>
              <w:right w:val="single" w:sz="4" w:space="0" w:color="auto"/>
            </w:tcBorders>
            <w:shd w:val="clear" w:color="auto" w:fill="auto"/>
            <w:noWrap/>
            <w:vAlign w:val="bottom"/>
            <w:hideMark/>
          </w:tcPr>
          <w:p w14:paraId="3E4F9BFF"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1</w:t>
            </w:r>
          </w:p>
        </w:tc>
        <w:tc>
          <w:tcPr>
            <w:tcW w:w="700" w:type="dxa"/>
            <w:tcBorders>
              <w:top w:val="nil"/>
              <w:left w:val="nil"/>
              <w:bottom w:val="single" w:sz="4" w:space="0" w:color="auto"/>
              <w:right w:val="single" w:sz="4" w:space="0" w:color="auto"/>
            </w:tcBorders>
            <w:shd w:val="clear" w:color="auto" w:fill="auto"/>
            <w:noWrap/>
            <w:vAlign w:val="bottom"/>
            <w:hideMark/>
          </w:tcPr>
          <w:p w14:paraId="0F204BB3"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7</w:t>
            </w:r>
          </w:p>
        </w:tc>
        <w:tc>
          <w:tcPr>
            <w:tcW w:w="700" w:type="dxa"/>
            <w:tcBorders>
              <w:top w:val="nil"/>
              <w:left w:val="nil"/>
              <w:bottom w:val="single" w:sz="4" w:space="0" w:color="auto"/>
              <w:right w:val="single" w:sz="4" w:space="0" w:color="auto"/>
            </w:tcBorders>
            <w:shd w:val="clear" w:color="auto" w:fill="auto"/>
            <w:noWrap/>
            <w:vAlign w:val="bottom"/>
            <w:hideMark/>
          </w:tcPr>
          <w:p w14:paraId="6504BF22"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19</w:t>
            </w:r>
          </w:p>
        </w:tc>
        <w:tc>
          <w:tcPr>
            <w:tcW w:w="700" w:type="dxa"/>
            <w:tcBorders>
              <w:top w:val="nil"/>
              <w:left w:val="nil"/>
              <w:bottom w:val="single" w:sz="4" w:space="0" w:color="auto"/>
              <w:right w:val="single" w:sz="4" w:space="0" w:color="auto"/>
            </w:tcBorders>
            <w:shd w:val="clear" w:color="auto" w:fill="auto"/>
            <w:noWrap/>
            <w:vAlign w:val="bottom"/>
            <w:hideMark/>
          </w:tcPr>
          <w:p w14:paraId="02256288"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12</w:t>
            </w:r>
          </w:p>
        </w:tc>
        <w:tc>
          <w:tcPr>
            <w:tcW w:w="700" w:type="dxa"/>
            <w:tcBorders>
              <w:top w:val="nil"/>
              <w:left w:val="nil"/>
              <w:bottom w:val="single" w:sz="4" w:space="0" w:color="auto"/>
              <w:right w:val="single" w:sz="4" w:space="0" w:color="auto"/>
            </w:tcBorders>
            <w:shd w:val="clear" w:color="auto" w:fill="auto"/>
            <w:noWrap/>
            <w:vAlign w:val="bottom"/>
            <w:hideMark/>
          </w:tcPr>
          <w:p w14:paraId="6F41B373"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27</w:t>
            </w:r>
          </w:p>
        </w:tc>
        <w:tc>
          <w:tcPr>
            <w:tcW w:w="700" w:type="dxa"/>
            <w:tcBorders>
              <w:top w:val="nil"/>
              <w:left w:val="nil"/>
              <w:bottom w:val="single" w:sz="4" w:space="0" w:color="auto"/>
              <w:right w:val="single" w:sz="4" w:space="0" w:color="auto"/>
            </w:tcBorders>
            <w:shd w:val="clear" w:color="auto" w:fill="auto"/>
            <w:noWrap/>
            <w:vAlign w:val="bottom"/>
            <w:hideMark/>
          </w:tcPr>
          <w:p w14:paraId="468E3DE3"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19</w:t>
            </w:r>
          </w:p>
        </w:tc>
        <w:tc>
          <w:tcPr>
            <w:tcW w:w="700" w:type="dxa"/>
            <w:tcBorders>
              <w:top w:val="nil"/>
              <w:left w:val="nil"/>
              <w:bottom w:val="single" w:sz="4" w:space="0" w:color="auto"/>
              <w:right w:val="single" w:sz="4" w:space="0" w:color="auto"/>
            </w:tcBorders>
            <w:shd w:val="clear" w:color="auto" w:fill="auto"/>
            <w:noWrap/>
            <w:vAlign w:val="bottom"/>
            <w:hideMark/>
          </w:tcPr>
          <w:p w14:paraId="59E908A7"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37</w:t>
            </w:r>
          </w:p>
        </w:tc>
        <w:tc>
          <w:tcPr>
            <w:tcW w:w="700" w:type="dxa"/>
            <w:tcBorders>
              <w:top w:val="nil"/>
              <w:left w:val="nil"/>
              <w:bottom w:val="single" w:sz="4" w:space="0" w:color="auto"/>
              <w:right w:val="single" w:sz="4" w:space="0" w:color="auto"/>
            </w:tcBorders>
            <w:shd w:val="clear" w:color="auto" w:fill="auto"/>
            <w:noWrap/>
            <w:vAlign w:val="bottom"/>
            <w:hideMark/>
          </w:tcPr>
          <w:p w14:paraId="5BFDCAAE"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37</w:t>
            </w:r>
          </w:p>
        </w:tc>
        <w:tc>
          <w:tcPr>
            <w:tcW w:w="700" w:type="dxa"/>
            <w:tcBorders>
              <w:top w:val="nil"/>
              <w:left w:val="nil"/>
              <w:bottom w:val="single" w:sz="4" w:space="0" w:color="auto"/>
              <w:right w:val="single" w:sz="4" w:space="0" w:color="auto"/>
            </w:tcBorders>
            <w:shd w:val="clear" w:color="auto" w:fill="auto"/>
            <w:noWrap/>
            <w:vAlign w:val="bottom"/>
            <w:hideMark/>
          </w:tcPr>
          <w:p w14:paraId="32555126"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61</w:t>
            </w:r>
          </w:p>
        </w:tc>
      </w:tr>
      <w:tr w:rsidR="004914B2" w:rsidRPr="004914B2" w14:paraId="5A2ECC93" w14:textId="77777777" w:rsidTr="004914B2">
        <w:trPr>
          <w:trHeight w:val="300"/>
        </w:trPr>
        <w:tc>
          <w:tcPr>
            <w:tcW w:w="2800" w:type="dxa"/>
            <w:tcBorders>
              <w:top w:val="nil"/>
              <w:left w:val="single" w:sz="4" w:space="0" w:color="auto"/>
              <w:bottom w:val="single" w:sz="4" w:space="0" w:color="auto"/>
              <w:right w:val="single" w:sz="4" w:space="0" w:color="auto"/>
            </w:tcBorders>
            <w:shd w:val="clear" w:color="auto" w:fill="auto"/>
            <w:noWrap/>
            <w:vAlign w:val="bottom"/>
            <w:hideMark/>
          </w:tcPr>
          <w:p w14:paraId="2192CC06" w14:textId="77777777" w:rsidR="004914B2" w:rsidRPr="004914B2" w:rsidRDefault="004914B2" w:rsidP="004914B2">
            <w:pPr>
              <w:overflowPunct/>
              <w:autoSpaceDE/>
              <w:autoSpaceDN/>
              <w:adjustRightInd/>
              <w:spacing w:after="0"/>
              <w:jc w:val="left"/>
              <w:textAlignment w:val="auto"/>
              <w:rPr>
                <w:rFonts w:ascii="Calibri" w:hAnsi="Calibri"/>
                <w:color w:val="000000"/>
                <w:sz w:val="22"/>
                <w:szCs w:val="22"/>
                <w:lang w:val="en-US" w:eastAsia="en-US"/>
              </w:rPr>
            </w:pPr>
            <w:proofErr w:type="gramStart"/>
            <w:r w:rsidRPr="004914B2">
              <w:rPr>
                <w:rFonts w:ascii="Calibri" w:hAnsi="Calibri"/>
                <w:color w:val="000000"/>
                <w:sz w:val="22"/>
                <w:szCs w:val="22"/>
                <w:lang w:val="en-US" w:eastAsia="en-US"/>
              </w:rPr>
              <w:t>spectral</w:t>
            </w:r>
            <w:proofErr w:type="gramEnd"/>
            <w:r w:rsidRPr="004914B2">
              <w:rPr>
                <w:rFonts w:ascii="Calibri" w:hAnsi="Calibri"/>
                <w:color w:val="000000"/>
                <w:sz w:val="22"/>
                <w:szCs w:val="22"/>
                <w:lang w:val="en-US" w:eastAsia="en-US"/>
              </w:rPr>
              <w:t xml:space="preserve"> efficiency [b/s/Hz]</w:t>
            </w:r>
          </w:p>
        </w:tc>
        <w:tc>
          <w:tcPr>
            <w:tcW w:w="700" w:type="dxa"/>
            <w:tcBorders>
              <w:top w:val="nil"/>
              <w:left w:val="nil"/>
              <w:bottom w:val="single" w:sz="4" w:space="0" w:color="auto"/>
              <w:right w:val="single" w:sz="4" w:space="0" w:color="auto"/>
            </w:tcBorders>
            <w:shd w:val="clear" w:color="auto" w:fill="auto"/>
            <w:noWrap/>
            <w:vAlign w:val="bottom"/>
            <w:hideMark/>
          </w:tcPr>
          <w:p w14:paraId="17A9B489"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0.22</w:t>
            </w:r>
          </w:p>
        </w:tc>
        <w:tc>
          <w:tcPr>
            <w:tcW w:w="700" w:type="dxa"/>
            <w:tcBorders>
              <w:top w:val="nil"/>
              <w:left w:val="nil"/>
              <w:bottom w:val="single" w:sz="4" w:space="0" w:color="auto"/>
              <w:right w:val="single" w:sz="4" w:space="0" w:color="auto"/>
            </w:tcBorders>
            <w:shd w:val="clear" w:color="auto" w:fill="auto"/>
            <w:noWrap/>
            <w:vAlign w:val="bottom"/>
            <w:hideMark/>
          </w:tcPr>
          <w:p w14:paraId="647FA1A4"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0.18</w:t>
            </w:r>
          </w:p>
        </w:tc>
        <w:tc>
          <w:tcPr>
            <w:tcW w:w="700" w:type="dxa"/>
            <w:tcBorders>
              <w:top w:val="nil"/>
              <w:left w:val="nil"/>
              <w:bottom w:val="single" w:sz="4" w:space="0" w:color="auto"/>
              <w:right w:val="single" w:sz="4" w:space="0" w:color="auto"/>
            </w:tcBorders>
            <w:shd w:val="clear" w:color="auto" w:fill="auto"/>
            <w:noWrap/>
            <w:vAlign w:val="bottom"/>
            <w:hideMark/>
          </w:tcPr>
          <w:p w14:paraId="0F69016C"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0.09</w:t>
            </w:r>
          </w:p>
        </w:tc>
        <w:tc>
          <w:tcPr>
            <w:tcW w:w="700" w:type="dxa"/>
            <w:tcBorders>
              <w:top w:val="nil"/>
              <w:left w:val="nil"/>
              <w:bottom w:val="single" w:sz="4" w:space="0" w:color="auto"/>
              <w:right w:val="single" w:sz="4" w:space="0" w:color="auto"/>
            </w:tcBorders>
            <w:shd w:val="clear" w:color="auto" w:fill="auto"/>
            <w:noWrap/>
            <w:vAlign w:val="bottom"/>
            <w:hideMark/>
          </w:tcPr>
          <w:p w14:paraId="4A6854D7"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0.32</w:t>
            </w:r>
          </w:p>
        </w:tc>
        <w:tc>
          <w:tcPr>
            <w:tcW w:w="700" w:type="dxa"/>
            <w:tcBorders>
              <w:top w:val="nil"/>
              <w:left w:val="nil"/>
              <w:bottom w:val="single" w:sz="4" w:space="0" w:color="auto"/>
              <w:right w:val="single" w:sz="4" w:space="0" w:color="auto"/>
            </w:tcBorders>
            <w:shd w:val="clear" w:color="auto" w:fill="auto"/>
            <w:noWrap/>
            <w:vAlign w:val="bottom"/>
            <w:hideMark/>
          </w:tcPr>
          <w:p w14:paraId="1F8B9652"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0.18</w:t>
            </w:r>
          </w:p>
        </w:tc>
        <w:tc>
          <w:tcPr>
            <w:tcW w:w="700" w:type="dxa"/>
            <w:tcBorders>
              <w:top w:val="nil"/>
              <w:left w:val="nil"/>
              <w:bottom w:val="single" w:sz="4" w:space="0" w:color="auto"/>
              <w:right w:val="single" w:sz="4" w:space="0" w:color="auto"/>
            </w:tcBorders>
            <w:shd w:val="clear" w:color="auto" w:fill="auto"/>
            <w:noWrap/>
            <w:vAlign w:val="bottom"/>
            <w:hideMark/>
          </w:tcPr>
          <w:p w14:paraId="491295F0"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0.48</w:t>
            </w:r>
          </w:p>
        </w:tc>
        <w:tc>
          <w:tcPr>
            <w:tcW w:w="700" w:type="dxa"/>
            <w:tcBorders>
              <w:top w:val="nil"/>
              <w:left w:val="nil"/>
              <w:bottom w:val="single" w:sz="4" w:space="0" w:color="auto"/>
              <w:right w:val="single" w:sz="4" w:space="0" w:color="auto"/>
            </w:tcBorders>
            <w:shd w:val="clear" w:color="auto" w:fill="auto"/>
            <w:noWrap/>
            <w:vAlign w:val="bottom"/>
            <w:hideMark/>
          </w:tcPr>
          <w:p w14:paraId="690F0355"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0.31</w:t>
            </w:r>
          </w:p>
        </w:tc>
        <w:tc>
          <w:tcPr>
            <w:tcW w:w="700" w:type="dxa"/>
            <w:tcBorders>
              <w:top w:val="nil"/>
              <w:left w:val="nil"/>
              <w:bottom w:val="single" w:sz="4" w:space="0" w:color="auto"/>
              <w:right w:val="single" w:sz="4" w:space="0" w:color="auto"/>
            </w:tcBorders>
            <w:shd w:val="clear" w:color="auto" w:fill="auto"/>
            <w:noWrap/>
            <w:vAlign w:val="bottom"/>
            <w:hideMark/>
          </w:tcPr>
          <w:p w14:paraId="7FFFCA56"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0.66</w:t>
            </w:r>
          </w:p>
        </w:tc>
        <w:tc>
          <w:tcPr>
            <w:tcW w:w="700" w:type="dxa"/>
            <w:tcBorders>
              <w:top w:val="nil"/>
              <w:left w:val="nil"/>
              <w:bottom w:val="single" w:sz="4" w:space="0" w:color="auto"/>
              <w:right w:val="single" w:sz="4" w:space="0" w:color="auto"/>
            </w:tcBorders>
            <w:shd w:val="clear" w:color="auto" w:fill="auto"/>
            <w:noWrap/>
            <w:vAlign w:val="bottom"/>
            <w:hideMark/>
          </w:tcPr>
          <w:p w14:paraId="13024C1E" w14:textId="77777777" w:rsidR="004914B2" w:rsidRPr="004914B2" w:rsidRDefault="004914B2" w:rsidP="004914B2">
            <w:pPr>
              <w:overflowPunct/>
              <w:autoSpaceDE/>
              <w:autoSpaceDN/>
              <w:adjustRightInd/>
              <w:spacing w:after="0"/>
              <w:jc w:val="right"/>
              <w:textAlignment w:val="auto"/>
              <w:rPr>
                <w:rFonts w:ascii="Calibri" w:hAnsi="Calibri"/>
                <w:color w:val="000000"/>
                <w:sz w:val="22"/>
                <w:szCs w:val="22"/>
                <w:lang w:val="en-US" w:eastAsia="en-US"/>
              </w:rPr>
            </w:pPr>
            <w:r w:rsidRPr="004914B2">
              <w:rPr>
                <w:rFonts w:ascii="Calibri" w:hAnsi="Calibri"/>
                <w:color w:val="000000"/>
                <w:sz w:val="22"/>
                <w:szCs w:val="22"/>
                <w:lang w:val="en-US" w:eastAsia="en-US"/>
              </w:rPr>
              <w:t>0.51</w:t>
            </w:r>
          </w:p>
        </w:tc>
      </w:tr>
    </w:tbl>
    <w:p w14:paraId="506B0DA6" w14:textId="77777777" w:rsidR="00D96F43" w:rsidRDefault="00D96F43" w:rsidP="00553B28">
      <w:pPr>
        <w:rPr>
          <w:lang w:val="en-US"/>
        </w:rPr>
      </w:pPr>
    </w:p>
    <w:p w14:paraId="4D23EFC1" w14:textId="77777777" w:rsidR="00D96F43" w:rsidRDefault="00D96F43" w:rsidP="00553B28">
      <w:pPr>
        <w:rPr>
          <w:lang w:val="en-US"/>
        </w:rPr>
      </w:pPr>
    </w:p>
    <w:p w14:paraId="76B19A26" w14:textId="77777777" w:rsidR="00D96F43" w:rsidRDefault="00D96F43" w:rsidP="00553B28">
      <w:pPr>
        <w:jc w:val="center"/>
        <w:rPr>
          <w:lang w:val="en-US"/>
        </w:rPr>
      </w:pPr>
      <w:r>
        <w:rPr>
          <w:lang w:val="en-US"/>
        </w:rPr>
        <w:t>Table 2 - MBSFN extrapolated mean spectral efficiency</w:t>
      </w:r>
    </w:p>
    <w:p w14:paraId="1673983F" w14:textId="77777777" w:rsidR="00D96F43" w:rsidRDefault="00D96F43" w:rsidP="00553B28">
      <w:pPr>
        <w:jc w:val="center"/>
        <w:rPr>
          <w:lang w:val="en-US"/>
        </w:rPr>
      </w:pPr>
    </w:p>
    <w:p w14:paraId="6BA466DA" w14:textId="77777777" w:rsidR="00D96F43" w:rsidRPr="00D96F43" w:rsidRDefault="00D96F43" w:rsidP="00553B28">
      <w:pPr>
        <w:jc w:val="left"/>
        <w:rPr>
          <w:lang w:val="en-US"/>
        </w:rPr>
      </w:pPr>
      <w:r>
        <w:rPr>
          <w:lang w:val="en-US"/>
        </w:rPr>
        <w:t xml:space="preserve">It can be seen that the case of </w:t>
      </w:r>
      <w:r w:rsidR="004914B2">
        <w:rPr>
          <w:lang w:val="en-US"/>
        </w:rPr>
        <w:t>1</w:t>
      </w:r>
      <w:r>
        <w:rPr>
          <w:lang w:val="en-US"/>
        </w:rPr>
        <w:t xml:space="preserve"> supporting cell ring is always better than the case of </w:t>
      </w:r>
      <w:r w:rsidR="004914B2">
        <w:rPr>
          <w:lang w:val="en-US"/>
        </w:rPr>
        <w:t>2</w:t>
      </w:r>
      <w:r>
        <w:rPr>
          <w:lang w:val="en-US"/>
        </w:rPr>
        <w:t>.  For 19 group cells the mean spectral efficiency is with 0.</w:t>
      </w:r>
      <w:r w:rsidR="004914B2">
        <w:rPr>
          <w:lang w:val="en-US"/>
        </w:rPr>
        <w:t>6</w:t>
      </w:r>
      <w:r>
        <w:rPr>
          <w:lang w:val="en-US"/>
        </w:rPr>
        <w:t>6b/s/</w:t>
      </w:r>
      <w:proofErr w:type="gramStart"/>
      <w:r>
        <w:rPr>
          <w:lang w:val="en-US"/>
        </w:rPr>
        <w:t xml:space="preserve">Hz  </w:t>
      </w:r>
      <w:r w:rsidR="004914B2">
        <w:rPr>
          <w:lang w:val="en-US"/>
        </w:rPr>
        <w:t>about</w:t>
      </w:r>
      <w:proofErr w:type="gramEnd"/>
      <w:r w:rsidR="004914B2">
        <w:rPr>
          <w:lang w:val="en-US"/>
        </w:rPr>
        <w:t xml:space="preserve"> equal to</w:t>
      </w:r>
      <w:r>
        <w:rPr>
          <w:lang w:val="en-US"/>
        </w:rPr>
        <w:t xml:space="preserve"> the SC-PTM spectral efficiency with 2 retransmissions for groups </w:t>
      </w:r>
      <w:r w:rsidR="004914B2">
        <w:rPr>
          <w:lang w:val="en-US"/>
        </w:rPr>
        <w:t xml:space="preserve"> of</w:t>
      </w:r>
      <w:r>
        <w:rPr>
          <w:lang w:val="en-US"/>
        </w:rPr>
        <w:t xml:space="preserve">10 UEs. </w:t>
      </w:r>
      <w:r w:rsidR="003045DA">
        <w:rPr>
          <w:lang w:val="en-US"/>
        </w:rPr>
        <w:t>The latter, however, will be further reduced with non-ideal group specific MCS adaptation.</w:t>
      </w:r>
    </w:p>
    <w:p w14:paraId="1D0A9B5B" w14:textId="77777777" w:rsidR="00D96F43" w:rsidRPr="00553B28" w:rsidRDefault="00D96F43" w:rsidP="006F6095">
      <w:pPr>
        <w:pStyle w:val="BodyText"/>
        <w:tabs>
          <w:tab w:val="left" w:pos="720"/>
        </w:tabs>
        <w:jc w:val="center"/>
        <w:rPr>
          <w:lang w:val="en-US"/>
        </w:rPr>
      </w:pPr>
    </w:p>
    <w:p w14:paraId="3AF6A3BD" w14:textId="77777777" w:rsidR="005E241A" w:rsidRPr="00CE0424" w:rsidRDefault="005E241A" w:rsidP="005E241A">
      <w:pPr>
        <w:pStyle w:val="Heading1"/>
      </w:pPr>
      <w:r>
        <w:t>Conclusion</w:t>
      </w:r>
    </w:p>
    <w:p w14:paraId="22F44D8C" w14:textId="77777777" w:rsidR="00553B28" w:rsidRDefault="00D901FC" w:rsidP="00CB73F9">
      <w:r>
        <w:t>In this contribution w</w:t>
      </w:r>
      <w:r w:rsidR="00C00D67">
        <w:t xml:space="preserve">e </w:t>
      </w:r>
      <w:r w:rsidR="006F6095">
        <w:t>presented initial results for</w:t>
      </w:r>
      <w:r w:rsidR="00D84107">
        <w:t xml:space="preserve"> resource efficiency of</w:t>
      </w:r>
      <w:r>
        <w:t xml:space="preserve"> single-cell PTM</w:t>
      </w:r>
      <w:r w:rsidR="00C00D67">
        <w:t xml:space="preserve"> </w:t>
      </w:r>
      <w:r w:rsidR="00D84107">
        <w:t>with and without feedback.</w:t>
      </w:r>
      <w:r w:rsidR="006F6095">
        <w:t xml:space="preserve"> </w:t>
      </w:r>
      <w:r w:rsidR="00553B28">
        <w:t>Regarding the general assumptions and the packet loss requirements specifically, we propose:</w:t>
      </w:r>
    </w:p>
    <w:p w14:paraId="114FBD11" w14:textId="77777777" w:rsidR="00553B28" w:rsidRDefault="00553B28" w:rsidP="007D6B58">
      <w:pPr>
        <w:pStyle w:val="Proposal"/>
        <w:numPr>
          <w:ilvl w:val="0"/>
          <w:numId w:val="46"/>
        </w:numPr>
      </w:pPr>
      <w:r>
        <w:t>For public safety, it should be discussed whether to ensure BLER &lt; 1% for 99 % of the UEs, since packet loss is more severe than late packet arrival or delayed call setup.</w:t>
      </w:r>
    </w:p>
    <w:p w14:paraId="3B14FA69" w14:textId="676171CC" w:rsidR="00134F5B" w:rsidRDefault="00416834" w:rsidP="00CB73F9">
      <w:r>
        <w:t xml:space="preserve">Then, with respect to actual </w:t>
      </w:r>
      <w:r w:rsidR="00265CDA">
        <w:t xml:space="preserve">SC-PTM </w:t>
      </w:r>
      <w:r>
        <w:t>simulation results, a</w:t>
      </w:r>
      <w:r>
        <w:t xml:space="preserve">s </w:t>
      </w:r>
      <w:r w:rsidR="00134F5B">
        <w:t xml:space="preserve">expected the gain of </w:t>
      </w:r>
      <w:r w:rsidR="003045DA">
        <w:t xml:space="preserve">ideal </w:t>
      </w:r>
      <w:r w:rsidR="00134F5B">
        <w:t xml:space="preserve">group-specific MCS adaptation is very high for small group size and decreases quickly with increasing group size, but remains decent up to 10 UEs, though more detailed MCS adaptation simulations will be required to confirm this. HARQ with up to 2 retransmissions spread in time to exploit time diversity achieve a further gain of about </w:t>
      </w:r>
      <w:r w:rsidR="002F07E0">
        <w:t>0.1-</w:t>
      </w:r>
      <w:r w:rsidR="00134F5B">
        <w:t>0.2 b/s/Hz regardless of group size in the range of 1-10.</w:t>
      </w:r>
    </w:p>
    <w:p w14:paraId="2ED761B1" w14:textId="77777777" w:rsidR="003045DA" w:rsidRDefault="003045DA" w:rsidP="00CB73F9">
      <w:r>
        <w:t>A small MBSFN with 61 cells providing a group service to the central 19 cells achieves the same average spectral efficiency calculated over all 61 cells as this SC-PTM configuration for group size of 10 UEs per cell.</w:t>
      </w:r>
    </w:p>
    <w:p w14:paraId="17CB8B16" w14:textId="77777777" w:rsidR="00D90904" w:rsidRDefault="003045DA" w:rsidP="00CB73F9">
      <w:r>
        <w:t xml:space="preserve">SC-PTM without group specific MCS adaptation and HARQ is worse than MBSFN already for a group service area of 3…7 cells. </w:t>
      </w:r>
    </w:p>
    <w:p w14:paraId="76A37EEA" w14:textId="77777777" w:rsidR="00883244" w:rsidRDefault="00D90904" w:rsidP="00553B28">
      <w:pPr>
        <w:pStyle w:val="Proposal"/>
      </w:pPr>
      <w:r>
        <w:t xml:space="preserve">Capture the above results in the </w:t>
      </w:r>
      <w:r w:rsidR="00553B28">
        <w:t xml:space="preserve">draft </w:t>
      </w:r>
      <w:r>
        <w:t xml:space="preserve">TR </w:t>
      </w:r>
      <w:r w:rsidR="00553B28">
        <w:t>36.890</w:t>
      </w:r>
    </w:p>
    <w:p w14:paraId="7948D27D" w14:textId="77777777" w:rsidR="00D901FC" w:rsidRPr="00CE0424" w:rsidRDefault="00D901FC" w:rsidP="00D901FC">
      <w:pPr>
        <w:pStyle w:val="Heading1"/>
      </w:pPr>
      <w:r w:rsidRPr="00D901FC">
        <w:t>References</w:t>
      </w:r>
    </w:p>
    <w:p w14:paraId="79BFEC6F" w14:textId="77777777" w:rsidR="005F3025" w:rsidRDefault="008F4ABF" w:rsidP="00590569">
      <w:pPr>
        <w:pStyle w:val="Reference"/>
      </w:pPr>
      <w:bookmarkStart w:id="1" w:name="_Ref174151459"/>
      <w:bookmarkStart w:id="2" w:name="_Ref189809556"/>
      <w:bookmarkStart w:id="3" w:name="_Ref410401458"/>
      <w:r>
        <w:t xml:space="preserve">RP-142205, </w:t>
      </w:r>
      <w:r w:rsidR="00590569">
        <w:t>“</w:t>
      </w:r>
      <w:r w:rsidR="00590569" w:rsidRPr="00590569">
        <w:t>New Study Item Proposal for Support of single-cell point-to-multipoint transmission in LTE</w:t>
      </w:r>
      <w:r w:rsidR="00590569">
        <w:t>”</w:t>
      </w:r>
      <w:r w:rsidR="005F3025" w:rsidRPr="00CE0424">
        <w:t xml:space="preserve">, </w:t>
      </w:r>
      <w:r w:rsidR="00590569">
        <w:t xml:space="preserve">Huawei, </w:t>
      </w:r>
      <w:proofErr w:type="spellStart"/>
      <w:r w:rsidR="00590569">
        <w:t>HiSilicon</w:t>
      </w:r>
      <w:proofErr w:type="spellEnd"/>
      <w:r w:rsidR="005F3025" w:rsidRPr="00CE0424">
        <w:t xml:space="preserve">, </w:t>
      </w:r>
      <w:r w:rsidR="00590569">
        <w:t>RP#66</w:t>
      </w:r>
      <w:r w:rsidR="005F3025" w:rsidRPr="00CE0424">
        <w:t xml:space="preserve">, </w:t>
      </w:r>
      <w:r w:rsidR="00590569">
        <w:t>2014/12/08-11</w:t>
      </w:r>
      <w:bookmarkEnd w:id="3"/>
    </w:p>
    <w:p w14:paraId="52DE553C" w14:textId="77777777" w:rsidR="00D678B1" w:rsidRPr="00CE0424" w:rsidRDefault="00D678B1" w:rsidP="007254FF">
      <w:pPr>
        <w:pStyle w:val="Reference"/>
      </w:pPr>
      <w:bookmarkStart w:id="4" w:name="_Ref409533439"/>
      <w:r>
        <w:t>RP-141920, “</w:t>
      </w:r>
      <w:r w:rsidR="007254FF" w:rsidRPr="007254FF">
        <w:t>Motivation of Rel-13 New Study Item proposal for Support of single-cell point-to-multipoint transmission in LTE</w:t>
      </w:r>
      <w:r w:rsidR="007254FF">
        <w:t>”</w:t>
      </w:r>
      <w:r w:rsidR="007254FF" w:rsidRPr="00CE0424">
        <w:t xml:space="preserve">, </w:t>
      </w:r>
      <w:r w:rsidR="007254FF">
        <w:t xml:space="preserve">Huawei, </w:t>
      </w:r>
      <w:proofErr w:type="spellStart"/>
      <w:r w:rsidR="007254FF">
        <w:t>HiSilicon</w:t>
      </w:r>
      <w:proofErr w:type="spellEnd"/>
      <w:r w:rsidR="007254FF" w:rsidRPr="00CE0424">
        <w:t xml:space="preserve">, </w:t>
      </w:r>
      <w:r w:rsidR="007254FF">
        <w:t>RP#66</w:t>
      </w:r>
      <w:r w:rsidR="007254FF" w:rsidRPr="00CE0424">
        <w:t xml:space="preserve">, </w:t>
      </w:r>
      <w:r w:rsidR="007254FF">
        <w:t>2014/12/08-11</w:t>
      </w:r>
      <w:bookmarkEnd w:id="4"/>
    </w:p>
    <w:p w14:paraId="3678C2D4" w14:textId="77777777" w:rsidR="004F2F97" w:rsidRDefault="00CB7CA0" w:rsidP="00590569">
      <w:pPr>
        <w:pStyle w:val="Reference"/>
      </w:pPr>
      <w:bookmarkStart w:id="5" w:name="_Ref410399675"/>
      <w:r w:rsidRPr="00CB7CA0">
        <w:t xml:space="preserve">TS </w:t>
      </w:r>
      <w:proofErr w:type="gramStart"/>
      <w:r w:rsidRPr="00CB7CA0">
        <w:t xml:space="preserve">22.179 </w:t>
      </w:r>
      <w:r>
        <w:t>,</w:t>
      </w:r>
      <w:proofErr w:type="gramEnd"/>
      <w:r>
        <w:t xml:space="preserve"> “</w:t>
      </w:r>
      <w:r w:rsidRPr="00CB7CA0">
        <w:t>Mission Critical Push To Talk (MCPTT) over LTE</w:t>
      </w:r>
      <w:r>
        <w:t>”</w:t>
      </w:r>
      <w:r w:rsidR="00AB7127">
        <w:t>, 3GPP, V13.0.1, 2015/01</w:t>
      </w:r>
      <w:r w:rsidR="004F2F97">
        <w:t>/05</w:t>
      </w:r>
      <w:bookmarkEnd w:id="5"/>
    </w:p>
    <w:bookmarkEnd w:id="1"/>
    <w:bookmarkEnd w:id="2"/>
    <w:p w14:paraId="51D7054C" w14:textId="77777777" w:rsidR="00814D1E" w:rsidRDefault="00814D1E" w:rsidP="006A0FB5">
      <w:pPr>
        <w:pStyle w:val="Reference"/>
        <w:numPr>
          <w:ilvl w:val="0"/>
          <w:numId w:val="0"/>
        </w:numPr>
        <w:ind w:left="567"/>
        <w:rPr>
          <w:lang w:val="en-US"/>
        </w:rPr>
      </w:pPr>
    </w:p>
    <w:p w14:paraId="40F31CFC" w14:textId="77777777" w:rsidR="00814D1E" w:rsidRPr="00094C55" w:rsidRDefault="00814D1E" w:rsidP="00814D1E">
      <w:pPr>
        <w:pStyle w:val="Reference"/>
        <w:numPr>
          <w:ilvl w:val="0"/>
          <w:numId w:val="0"/>
        </w:numPr>
        <w:ind w:left="567" w:hanging="567"/>
      </w:pPr>
    </w:p>
    <w:sectPr w:rsidR="00814D1E" w:rsidRPr="00094C55">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3E0302" w14:textId="77777777" w:rsidR="00553B28" w:rsidRDefault="00553B28">
      <w:r>
        <w:separator/>
      </w:r>
    </w:p>
  </w:endnote>
  <w:endnote w:type="continuationSeparator" w:id="0">
    <w:p w14:paraId="105672DB" w14:textId="77777777" w:rsidR="00553B28" w:rsidRDefault="00553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Ericsson Capital TT">
    <w:altName w:val="Cambria Math"/>
    <w:charset w:val="00"/>
    <w:family w:val="auto"/>
    <w:pitch w:val="variable"/>
    <w:sig w:usb0="800002A7" w:usb1="40000000" w:usb2="00000000" w:usb3="00000000" w:csb0="0000009F" w:csb1="00000000"/>
  </w:font>
  <w:font w:name="MS Mincho">
    <w:altName w:val="ＭＳ 明朝"/>
    <w:charset w:val="80"/>
    <w:family w:val="modern"/>
    <w:pitch w:val="fixed"/>
    <w:sig w:usb0="E00002FF" w:usb1="6AC7FDFB" w:usb2="00000012" w:usb3="00000000" w:csb0="0002009F" w:csb1="00000000"/>
  </w:font>
  <w:font w:name="PMingLiU">
    <w:altName w:val="新細明體"/>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54A1D2" w14:textId="77777777" w:rsidR="00553B28" w:rsidRDefault="00553B2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65CD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65CDA">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B6E4EC" w14:textId="77777777" w:rsidR="00553B28" w:rsidRDefault="00553B28">
      <w:r>
        <w:separator/>
      </w:r>
    </w:p>
  </w:footnote>
  <w:footnote w:type="continuationSeparator" w:id="0">
    <w:p w14:paraId="72285ECC" w14:textId="77777777" w:rsidR="00553B28" w:rsidRDefault="00553B2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8A1C00" w14:textId="77777777" w:rsidR="00553B28" w:rsidRDefault="00553B2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BAECA3B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C08BF70"/>
    <w:lvl w:ilvl="0">
      <w:start w:val="1"/>
      <w:numFmt w:val="decimal"/>
      <w:lvlText w:val="%1."/>
      <w:lvlJc w:val="left"/>
      <w:pPr>
        <w:tabs>
          <w:tab w:val="num" w:pos="1492"/>
        </w:tabs>
        <w:ind w:left="1492" w:hanging="360"/>
      </w:pPr>
    </w:lvl>
  </w:abstractNum>
  <w:abstractNum w:abstractNumId="2">
    <w:nsid w:val="FFFFFF7D"/>
    <w:multiLevelType w:val="singleLevel"/>
    <w:tmpl w:val="4670CC80"/>
    <w:lvl w:ilvl="0">
      <w:start w:val="1"/>
      <w:numFmt w:val="decimal"/>
      <w:lvlText w:val="%1."/>
      <w:lvlJc w:val="left"/>
      <w:pPr>
        <w:tabs>
          <w:tab w:val="num" w:pos="1209"/>
        </w:tabs>
        <w:ind w:left="1209" w:hanging="360"/>
      </w:pPr>
    </w:lvl>
  </w:abstractNum>
  <w:abstractNum w:abstractNumId="3">
    <w:nsid w:val="FFFFFF7E"/>
    <w:multiLevelType w:val="singleLevel"/>
    <w:tmpl w:val="D1484AD6"/>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32852EB"/>
    <w:multiLevelType w:val="hybridMultilevel"/>
    <w:tmpl w:val="56D836C0"/>
    <w:lvl w:ilvl="0" w:tplc="8D28C97C">
      <w:start w:val="7"/>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A05259"/>
    <w:multiLevelType w:val="hybridMultilevel"/>
    <w:tmpl w:val="AC887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9E444D"/>
    <w:multiLevelType w:val="hybridMultilevel"/>
    <w:tmpl w:val="E56AD716"/>
    <w:lvl w:ilvl="0" w:tplc="B6A42D6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AD0713"/>
    <w:multiLevelType w:val="hybridMultilevel"/>
    <w:tmpl w:val="2318A996"/>
    <w:lvl w:ilvl="0" w:tplc="B6A42D6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4D7635"/>
    <w:multiLevelType w:val="hybridMultilevel"/>
    <w:tmpl w:val="5ABC4E70"/>
    <w:lvl w:ilvl="0" w:tplc="B81A3D28">
      <w:start w:val="1"/>
      <w:numFmt w:val="bullet"/>
      <w:lvlText w:val="›"/>
      <w:lvlJc w:val="left"/>
      <w:pPr>
        <w:tabs>
          <w:tab w:val="num" w:pos="720"/>
        </w:tabs>
        <w:ind w:left="720" w:hanging="360"/>
      </w:pPr>
      <w:rPr>
        <w:rFonts w:ascii="Arial" w:hAnsi="Arial" w:hint="default"/>
      </w:rPr>
    </w:lvl>
    <w:lvl w:ilvl="1" w:tplc="959859DA">
      <w:start w:val="4334"/>
      <w:numFmt w:val="bullet"/>
      <w:lvlText w:val="–"/>
      <w:lvlJc w:val="left"/>
      <w:pPr>
        <w:tabs>
          <w:tab w:val="num" w:pos="1440"/>
        </w:tabs>
        <w:ind w:left="1440" w:hanging="360"/>
      </w:pPr>
      <w:rPr>
        <w:rFonts w:ascii="Ericsson Capital TT" w:hAnsi="Ericsson Capital TT" w:hint="default"/>
      </w:rPr>
    </w:lvl>
    <w:lvl w:ilvl="2" w:tplc="9D6A57FC">
      <w:start w:val="4334"/>
      <w:numFmt w:val="bullet"/>
      <w:lvlText w:val="›"/>
      <w:lvlJc w:val="left"/>
      <w:pPr>
        <w:tabs>
          <w:tab w:val="num" w:pos="2160"/>
        </w:tabs>
        <w:ind w:left="2160" w:hanging="360"/>
      </w:pPr>
      <w:rPr>
        <w:rFonts w:ascii="Ericsson Capital TT" w:hAnsi="Ericsson Capital TT" w:hint="default"/>
      </w:rPr>
    </w:lvl>
    <w:lvl w:ilvl="3" w:tplc="E9388EB0" w:tentative="1">
      <w:start w:val="1"/>
      <w:numFmt w:val="bullet"/>
      <w:lvlText w:val="›"/>
      <w:lvlJc w:val="left"/>
      <w:pPr>
        <w:tabs>
          <w:tab w:val="num" w:pos="2880"/>
        </w:tabs>
        <w:ind w:left="2880" w:hanging="360"/>
      </w:pPr>
      <w:rPr>
        <w:rFonts w:ascii="Arial" w:hAnsi="Arial" w:hint="default"/>
      </w:rPr>
    </w:lvl>
    <w:lvl w:ilvl="4" w:tplc="69DEC268" w:tentative="1">
      <w:start w:val="1"/>
      <w:numFmt w:val="bullet"/>
      <w:lvlText w:val="›"/>
      <w:lvlJc w:val="left"/>
      <w:pPr>
        <w:tabs>
          <w:tab w:val="num" w:pos="3600"/>
        </w:tabs>
        <w:ind w:left="3600" w:hanging="360"/>
      </w:pPr>
      <w:rPr>
        <w:rFonts w:ascii="Arial" w:hAnsi="Arial" w:hint="default"/>
      </w:rPr>
    </w:lvl>
    <w:lvl w:ilvl="5" w:tplc="83BC392A" w:tentative="1">
      <w:start w:val="1"/>
      <w:numFmt w:val="bullet"/>
      <w:lvlText w:val="›"/>
      <w:lvlJc w:val="left"/>
      <w:pPr>
        <w:tabs>
          <w:tab w:val="num" w:pos="4320"/>
        </w:tabs>
        <w:ind w:left="4320" w:hanging="360"/>
      </w:pPr>
      <w:rPr>
        <w:rFonts w:ascii="Arial" w:hAnsi="Arial" w:hint="default"/>
      </w:rPr>
    </w:lvl>
    <w:lvl w:ilvl="6" w:tplc="6DDCFA14" w:tentative="1">
      <w:start w:val="1"/>
      <w:numFmt w:val="bullet"/>
      <w:lvlText w:val="›"/>
      <w:lvlJc w:val="left"/>
      <w:pPr>
        <w:tabs>
          <w:tab w:val="num" w:pos="5040"/>
        </w:tabs>
        <w:ind w:left="5040" w:hanging="360"/>
      </w:pPr>
      <w:rPr>
        <w:rFonts w:ascii="Arial" w:hAnsi="Arial" w:hint="default"/>
      </w:rPr>
    </w:lvl>
    <w:lvl w:ilvl="7" w:tplc="53962F58" w:tentative="1">
      <w:start w:val="1"/>
      <w:numFmt w:val="bullet"/>
      <w:lvlText w:val="›"/>
      <w:lvlJc w:val="left"/>
      <w:pPr>
        <w:tabs>
          <w:tab w:val="num" w:pos="5760"/>
        </w:tabs>
        <w:ind w:left="5760" w:hanging="360"/>
      </w:pPr>
      <w:rPr>
        <w:rFonts w:ascii="Arial" w:hAnsi="Arial" w:hint="default"/>
      </w:rPr>
    </w:lvl>
    <w:lvl w:ilvl="8" w:tplc="A5789496" w:tentative="1">
      <w:start w:val="1"/>
      <w:numFmt w:val="bullet"/>
      <w:lvlText w:val="›"/>
      <w:lvlJc w:val="left"/>
      <w:pPr>
        <w:tabs>
          <w:tab w:val="num" w:pos="6480"/>
        </w:tabs>
        <w:ind w:left="6480" w:hanging="360"/>
      </w:pPr>
      <w:rPr>
        <w:rFonts w:ascii="Arial" w:hAnsi="Arial" w:hint="default"/>
      </w:rPr>
    </w:lvl>
  </w:abstractNum>
  <w:abstractNum w:abstractNumId="10">
    <w:nsid w:val="215D1577"/>
    <w:multiLevelType w:val="hybridMultilevel"/>
    <w:tmpl w:val="3BA47FB8"/>
    <w:lvl w:ilvl="0" w:tplc="B6A42D6A">
      <w:start w:val="10"/>
      <w:numFmt w:val="bullet"/>
      <w:lvlText w:val="-"/>
      <w:lvlJc w:val="left"/>
      <w:pPr>
        <w:ind w:left="780" w:hanging="360"/>
      </w:pPr>
      <w:rPr>
        <w:rFonts w:ascii="Arial" w:eastAsia="Times New Roman" w:hAnsi="Arial" w:cs="Aria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nsid w:val="27D66CC2"/>
    <w:multiLevelType w:val="hybridMultilevel"/>
    <w:tmpl w:val="B70CD3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DD68E8"/>
    <w:multiLevelType w:val="hybridMultilevel"/>
    <w:tmpl w:val="997CBDE6"/>
    <w:lvl w:ilvl="0" w:tplc="C1CC628C">
      <w:start w:val="1"/>
      <w:numFmt w:val="bullet"/>
      <w:lvlText w:val="›"/>
      <w:lvlJc w:val="left"/>
      <w:pPr>
        <w:tabs>
          <w:tab w:val="num" w:pos="720"/>
        </w:tabs>
        <w:ind w:left="720" w:hanging="360"/>
      </w:pPr>
      <w:rPr>
        <w:rFonts w:ascii="Arial" w:hAnsi="Arial" w:hint="default"/>
      </w:rPr>
    </w:lvl>
    <w:lvl w:ilvl="1" w:tplc="172EB958">
      <w:start w:val="7418"/>
      <w:numFmt w:val="bullet"/>
      <w:lvlText w:val="–"/>
      <w:lvlJc w:val="left"/>
      <w:pPr>
        <w:tabs>
          <w:tab w:val="num" w:pos="1440"/>
        </w:tabs>
        <w:ind w:left="1440" w:hanging="360"/>
      </w:pPr>
      <w:rPr>
        <w:rFonts w:ascii="Ericsson Capital TT" w:hAnsi="Ericsson Capital TT" w:hint="default"/>
      </w:rPr>
    </w:lvl>
    <w:lvl w:ilvl="2" w:tplc="10B4196E" w:tentative="1">
      <w:start w:val="1"/>
      <w:numFmt w:val="bullet"/>
      <w:lvlText w:val="›"/>
      <w:lvlJc w:val="left"/>
      <w:pPr>
        <w:tabs>
          <w:tab w:val="num" w:pos="2160"/>
        </w:tabs>
        <w:ind w:left="2160" w:hanging="360"/>
      </w:pPr>
      <w:rPr>
        <w:rFonts w:ascii="Arial" w:hAnsi="Arial" w:hint="default"/>
      </w:rPr>
    </w:lvl>
    <w:lvl w:ilvl="3" w:tplc="FE20C9BA" w:tentative="1">
      <w:start w:val="1"/>
      <w:numFmt w:val="bullet"/>
      <w:lvlText w:val="›"/>
      <w:lvlJc w:val="left"/>
      <w:pPr>
        <w:tabs>
          <w:tab w:val="num" w:pos="2880"/>
        </w:tabs>
        <w:ind w:left="2880" w:hanging="360"/>
      </w:pPr>
      <w:rPr>
        <w:rFonts w:ascii="Arial" w:hAnsi="Arial" w:hint="default"/>
      </w:rPr>
    </w:lvl>
    <w:lvl w:ilvl="4" w:tplc="9736589A" w:tentative="1">
      <w:start w:val="1"/>
      <w:numFmt w:val="bullet"/>
      <w:lvlText w:val="›"/>
      <w:lvlJc w:val="left"/>
      <w:pPr>
        <w:tabs>
          <w:tab w:val="num" w:pos="3600"/>
        </w:tabs>
        <w:ind w:left="3600" w:hanging="360"/>
      </w:pPr>
      <w:rPr>
        <w:rFonts w:ascii="Arial" w:hAnsi="Arial" w:hint="default"/>
      </w:rPr>
    </w:lvl>
    <w:lvl w:ilvl="5" w:tplc="8A7C5EEA" w:tentative="1">
      <w:start w:val="1"/>
      <w:numFmt w:val="bullet"/>
      <w:lvlText w:val="›"/>
      <w:lvlJc w:val="left"/>
      <w:pPr>
        <w:tabs>
          <w:tab w:val="num" w:pos="4320"/>
        </w:tabs>
        <w:ind w:left="4320" w:hanging="360"/>
      </w:pPr>
      <w:rPr>
        <w:rFonts w:ascii="Arial" w:hAnsi="Arial" w:hint="default"/>
      </w:rPr>
    </w:lvl>
    <w:lvl w:ilvl="6" w:tplc="B03C7338" w:tentative="1">
      <w:start w:val="1"/>
      <w:numFmt w:val="bullet"/>
      <w:lvlText w:val="›"/>
      <w:lvlJc w:val="left"/>
      <w:pPr>
        <w:tabs>
          <w:tab w:val="num" w:pos="5040"/>
        </w:tabs>
        <w:ind w:left="5040" w:hanging="360"/>
      </w:pPr>
      <w:rPr>
        <w:rFonts w:ascii="Arial" w:hAnsi="Arial" w:hint="default"/>
      </w:rPr>
    </w:lvl>
    <w:lvl w:ilvl="7" w:tplc="B40A8140" w:tentative="1">
      <w:start w:val="1"/>
      <w:numFmt w:val="bullet"/>
      <w:lvlText w:val="›"/>
      <w:lvlJc w:val="left"/>
      <w:pPr>
        <w:tabs>
          <w:tab w:val="num" w:pos="5760"/>
        </w:tabs>
        <w:ind w:left="5760" w:hanging="360"/>
      </w:pPr>
      <w:rPr>
        <w:rFonts w:ascii="Arial" w:hAnsi="Arial" w:hint="default"/>
      </w:rPr>
    </w:lvl>
    <w:lvl w:ilvl="8" w:tplc="E89E83A8" w:tentative="1">
      <w:start w:val="1"/>
      <w:numFmt w:val="bullet"/>
      <w:lvlText w:val="›"/>
      <w:lvlJc w:val="left"/>
      <w:pPr>
        <w:tabs>
          <w:tab w:val="num" w:pos="6480"/>
        </w:tabs>
        <w:ind w:left="6480" w:hanging="360"/>
      </w:pPr>
      <w:rPr>
        <w:rFonts w:ascii="Arial" w:hAnsi="Arial" w:hint="default"/>
      </w:rPr>
    </w:lvl>
  </w:abstractNum>
  <w:abstractNum w:abstractNumId="13">
    <w:nsid w:val="29056C77"/>
    <w:multiLevelType w:val="hybridMultilevel"/>
    <w:tmpl w:val="E57A3F98"/>
    <w:lvl w:ilvl="0" w:tplc="B6A42D6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87694C"/>
    <w:multiLevelType w:val="hybridMultilevel"/>
    <w:tmpl w:val="928452C0"/>
    <w:lvl w:ilvl="0" w:tplc="EA7C3A46">
      <w:start w:val="1"/>
      <w:numFmt w:val="bullet"/>
      <w:lvlText w:val="›"/>
      <w:lvlJc w:val="left"/>
      <w:pPr>
        <w:tabs>
          <w:tab w:val="num" w:pos="720"/>
        </w:tabs>
        <w:ind w:left="720" w:hanging="360"/>
      </w:pPr>
      <w:rPr>
        <w:rFonts w:ascii="Arial" w:hAnsi="Arial" w:hint="default"/>
      </w:rPr>
    </w:lvl>
    <w:lvl w:ilvl="1" w:tplc="0FA23290">
      <w:start w:val="3447"/>
      <w:numFmt w:val="bullet"/>
      <w:lvlText w:val="–"/>
      <w:lvlJc w:val="left"/>
      <w:pPr>
        <w:tabs>
          <w:tab w:val="num" w:pos="1440"/>
        </w:tabs>
        <w:ind w:left="1440" w:hanging="360"/>
      </w:pPr>
      <w:rPr>
        <w:rFonts w:ascii="Ericsson Capital TT" w:hAnsi="Ericsson Capital TT" w:hint="default"/>
      </w:rPr>
    </w:lvl>
    <w:lvl w:ilvl="2" w:tplc="31B2EB14">
      <w:start w:val="3447"/>
      <w:numFmt w:val="bullet"/>
      <w:lvlText w:val="›"/>
      <w:lvlJc w:val="left"/>
      <w:pPr>
        <w:tabs>
          <w:tab w:val="num" w:pos="2160"/>
        </w:tabs>
        <w:ind w:left="2160" w:hanging="360"/>
      </w:pPr>
      <w:rPr>
        <w:rFonts w:ascii="Ericsson Capital TT" w:hAnsi="Ericsson Capital TT" w:hint="default"/>
      </w:rPr>
    </w:lvl>
    <w:lvl w:ilvl="3" w:tplc="E68C15DC" w:tentative="1">
      <w:start w:val="1"/>
      <w:numFmt w:val="bullet"/>
      <w:lvlText w:val="›"/>
      <w:lvlJc w:val="left"/>
      <w:pPr>
        <w:tabs>
          <w:tab w:val="num" w:pos="2880"/>
        </w:tabs>
        <w:ind w:left="2880" w:hanging="360"/>
      </w:pPr>
      <w:rPr>
        <w:rFonts w:ascii="Arial" w:hAnsi="Arial" w:hint="default"/>
      </w:rPr>
    </w:lvl>
    <w:lvl w:ilvl="4" w:tplc="DB90E630" w:tentative="1">
      <w:start w:val="1"/>
      <w:numFmt w:val="bullet"/>
      <w:lvlText w:val="›"/>
      <w:lvlJc w:val="left"/>
      <w:pPr>
        <w:tabs>
          <w:tab w:val="num" w:pos="3600"/>
        </w:tabs>
        <w:ind w:left="3600" w:hanging="360"/>
      </w:pPr>
      <w:rPr>
        <w:rFonts w:ascii="Arial" w:hAnsi="Arial" w:hint="default"/>
      </w:rPr>
    </w:lvl>
    <w:lvl w:ilvl="5" w:tplc="6694D0A2" w:tentative="1">
      <w:start w:val="1"/>
      <w:numFmt w:val="bullet"/>
      <w:lvlText w:val="›"/>
      <w:lvlJc w:val="left"/>
      <w:pPr>
        <w:tabs>
          <w:tab w:val="num" w:pos="4320"/>
        </w:tabs>
        <w:ind w:left="4320" w:hanging="360"/>
      </w:pPr>
      <w:rPr>
        <w:rFonts w:ascii="Arial" w:hAnsi="Arial" w:hint="default"/>
      </w:rPr>
    </w:lvl>
    <w:lvl w:ilvl="6" w:tplc="5DE47442" w:tentative="1">
      <w:start w:val="1"/>
      <w:numFmt w:val="bullet"/>
      <w:lvlText w:val="›"/>
      <w:lvlJc w:val="left"/>
      <w:pPr>
        <w:tabs>
          <w:tab w:val="num" w:pos="5040"/>
        </w:tabs>
        <w:ind w:left="5040" w:hanging="360"/>
      </w:pPr>
      <w:rPr>
        <w:rFonts w:ascii="Arial" w:hAnsi="Arial" w:hint="default"/>
      </w:rPr>
    </w:lvl>
    <w:lvl w:ilvl="7" w:tplc="77F0D6E4" w:tentative="1">
      <w:start w:val="1"/>
      <w:numFmt w:val="bullet"/>
      <w:lvlText w:val="›"/>
      <w:lvlJc w:val="left"/>
      <w:pPr>
        <w:tabs>
          <w:tab w:val="num" w:pos="5760"/>
        </w:tabs>
        <w:ind w:left="5760" w:hanging="360"/>
      </w:pPr>
      <w:rPr>
        <w:rFonts w:ascii="Arial" w:hAnsi="Arial" w:hint="default"/>
      </w:rPr>
    </w:lvl>
    <w:lvl w:ilvl="8" w:tplc="8100857A" w:tentative="1">
      <w:start w:val="1"/>
      <w:numFmt w:val="bullet"/>
      <w:lvlText w:val="›"/>
      <w:lvlJc w:val="left"/>
      <w:pPr>
        <w:tabs>
          <w:tab w:val="num" w:pos="6480"/>
        </w:tabs>
        <w:ind w:left="6480" w:hanging="360"/>
      </w:pPr>
      <w:rPr>
        <w:rFonts w:ascii="Arial" w:hAnsi="Arial" w:hint="default"/>
      </w:rPr>
    </w:lvl>
  </w:abstractNum>
  <w:abstractNum w:abstractNumId="1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67C7BA2"/>
    <w:multiLevelType w:val="hybridMultilevel"/>
    <w:tmpl w:val="A51CC158"/>
    <w:lvl w:ilvl="0" w:tplc="0FA23290">
      <w:start w:val="344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EE5E0D"/>
    <w:multiLevelType w:val="hybridMultilevel"/>
    <w:tmpl w:val="AD541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84C78AA"/>
    <w:multiLevelType w:val="multilevel"/>
    <w:tmpl w:val="608679F6"/>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AA46647"/>
    <w:multiLevelType w:val="hybridMultilevel"/>
    <w:tmpl w:val="44304FC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nsid w:val="3DF47077"/>
    <w:multiLevelType w:val="hybridMultilevel"/>
    <w:tmpl w:val="9F7CDCD6"/>
    <w:lvl w:ilvl="0" w:tplc="0FA23290">
      <w:start w:val="3447"/>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2CC5DCF"/>
    <w:multiLevelType w:val="hybridMultilevel"/>
    <w:tmpl w:val="0E6EEBBE"/>
    <w:lvl w:ilvl="0" w:tplc="8D28C97C">
      <w:start w:val="7"/>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9A16D0B"/>
    <w:multiLevelType w:val="hybridMultilevel"/>
    <w:tmpl w:val="2C0883B4"/>
    <w:lvl w:ilvl="0" w:tplc="05304D02">
      <w:start w:val="1"/>
      <w:numFmt w:val="bullet"/>
      <w:lvlText w:val="›"/>
      <w:lvlJc w:val="left"/>
      <w:pPr>
        <w:tabs>
          <w:tab w:val="num" w:pos="720"/>
        </w:tabs>
        <w:ind w:left="720" w:hanging="360"/>
      </w:pPr>
      <w:rPr>
        <w:rFonts w:ascii="Arial" w:hAnsi="Arial" w:hint="default"/>
      </w:rPr>
    </w:lvl>
    <w:lvl w:ilvl="1" w:tplc="D5304E66">
      <w:start w:val="7418"/>
      <w:numFmt w:val="bullet"/>
      <w:lvlText w:val="–"/>
      <w:lvlJc w:val="left"/>
      <w:pPr>
        <w:tabs>
          <w:tab w:val="num" w:pos="1440"/>
        </w:tabs>
        <w:ind w:left="1440" w:hanging="360"/>
      </w:pPr>
      <w:rPr>
        <w:rFonts w:ascii="Ericsson Capital TT" w:hAnsi="Ericsson Capital TT" w:hint="default"/>
      </w:rPr>
    </w:lvl>
    <w:lvl w:ilvl="2" w:tplc="05A4E30C" w:tentative="1">
      <w:start w:val="1"/>
      <w:numFmt w:val="bullet"/>
      <w:lvlText w:val="›"/>
      <w:lvlJc w:val="left"/>
      <w:pPr>
        <w:tabs>
          <w:tab w:val="num" w:pos="2160"/>
        </w:tabs>
        <w:ind w:left="2160" w:hanging="360"/>
      </w:pPr>
      <w:rPr>
        <w:rFonts w:ascii="Arial" w:hAnsi="Arial" w:hint="default"/>
      </w:rPr>
    </w:lvl>
    <w:lvl w:ilvl="3" w:tplc="D6200D1C" w:tentative="1">
      <w:start w:val="1"/>
      <w:numFmt w:val="bullet"/>
      <w:lvlText w:val="›"/>
      <w:lvlJc w:val="left"/>
      <w:pPr>
        <w:tabs>
          <w:tab w:val="num" w:pos="2880"/>
        </w:tabs>
        <w:ind w:left="2880" w:hanging="360"/>
      </w:pPr>
      <w:rPr>
        <w:rFonts w:ascii="Arial" w:hAnsi="Arial" w:hint="default"/>
      </w:rPr>
    </w:lvl>
    <w:lvl w:ilvl="4" w:tplc="4260C3AC" w:tentative="1">
      <w:start w:val="1"/>
      <w:numFmt w:val="bullet"/>
      <w:lvlText w:val="›"/>
      <w:lvlJc w:val="left"/>
      <w:pPr>
        <w:tabs>
          <w:tab w:val="num" w:pos="3600"/>
        </w:tabs>
        <w:ind w:left="3600" w:hanging="360"/>
      </w:pPr>
      <w:rPr>
        <w:rFonts w:ascii="Arial" w:hAnsi="Arial" w:hint="default"/>
      </w:rPr>
    </w:lvl>
    <w:lvl w:ilvl="5" w:tplc="57F0E590" w:tentative="1">
      <w:start w:val="1"/>
      <w:numFmt w:val="bullet"/>
      <w:lvlText w:val="›"/>
      <w:lvlJc w:val="left"/>
      <w:pPr>
        <w:tabs>
          <w:tab w:val="num" w:pos="4320"/>
        </w:tabs>
        <w:ind w:left="4320" w:hanging="360"/>
      </w:pPr>
      <w:rPr>
        <w:rFonts w:ascii="Arial" w:hAnsi="Arial" w:hint="default"/>
      </w:rPr>
    </w:lvl>
    <w:lvl w:ilvl="6" w:tplc="8AB0EE88" w:tentative="1">
      <w:start w:val="1"/>
      <w:numFmt w:val="bullet"/>
      <w:lvlText w:val="›"/>
      <w:lvlJc w:val="left"/>
      <w:pPr>
        <w:tabs>
          <w:tab w:val="num" w:pos="5040"/>
        </w:tabs>
        <w:ind w:left="5040" w:hanging="360"/>
      </w:pPr>
      <w:rPr>
        <w:rFonts w:ascii="Arial" w:hAnsi="Arial" w:hint="default"/>
      </w:rPr>
    </w:lvl>
    <w:lvl w:ilvl="7" w:tplc="6298EE1C" w:tentative="1">
      <w:start w:val="1"/>
      <w:numFmt w:val="bullet"/>
      <w:lvlText w:val="›"/>
      <w:lvlJc w:val="left"/>
      <w:pPr>
        <w:tabs>
          <w:tab w:val="num" w:pos="5760"/>
        </w:tabs>
        <w:ind w:left="5760" w:hanging="360"/>
      </w:pPr>
      <w:rPr>
        <w:rFonts w:ascii="Arial" w:hAnsi="Arial" w:hint="default"/>
      </w:rPr>
    </w:lvl>
    <w:lvl w:ilvl="8" w:tplc="6242DF2C" w:tentative="1">
      <w:start w:val="1"/>
      <w:numFmt w:val="bullet"/>
      <w:lvlText w:val="›"/>
      <w:lvlJc w:val="left"/>
      <w:pPr>
        <w:tabs>
          <w:tab w:val="num" w:pos="6480"/>
        </w:tabs>
        <w:ind w:left="6480" w:hanging="360"/>
      </w:pPr>
      <w:rPr>
        <w:rFonts w:ascii="Arial" w:hAnsi="Arial" w:hint="default"/>
      </w:rPr>
    </w:lvl>
  </w:abstractNum>
  <w:abstractNum w:abstractNumId="27">
    <w:nsid w:val="4BC80E14"/>
    <w:multiLevelType w:val="multilevel"/>
    <w:tmpl w:val="608679F6"/>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3120E1E"/>
    <w:multiLevelType w:val="hybridMultilevel"/>
    <w:tmpl w:val="A15600B4"/>
    <w:lvl w:ilvl="0" w:tplc="B6A42D6A">
      <w:start w:val="1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E175642"/>
    <w:multiLevelType w:val="hybridMultilevel"/>
    <w:tmpl w:val="E9CCE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6330F7E"/>
    <w:multiLevelType w:val="hybridMultilevel"/>
    <w:tmpl w:val="1A28B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7F31884"/>
    <w:multiLevelType w:val="hybridMultilevel"/>
    <w:tmpl w:val="843A0FFC"/>
    <w:lvl w:ilvl="0" w:tplc="FF7A86CC">
      <w:start w:val="6"/>
      <w:numFmt w:val="bullet"/>
      <w:lvlText w:val="-"/>
      <w:lvlJc w:val="left"/>
      <w:pPr>
        <w:ind w:left="928" w:hanging="360"/>
      </w:pPr>
      <w:rPr>
        <w:rFonts w:ascii="Times New Roman" w:eastAsia="MS Mincho" w:hAnsi="Times New Roman" w:cs="Times New Roman" w:hint="default"/>
      </w:rPr>
    </w:lvl>
    <w:lvl w:ilvl="1" w:tplc="9D207546">
      <w:numFmt w:val="bullet"/>
      <w:lvlText w:val="-"/>
      <w:lvlJc w:val="left"/>
      <w:pPr>
        <w:ind w:left="1648" w:hanging="360"/>
      </w:pPr>
      <w:rPr>
        <w:rFonts w:ascii="Times New Roman" w:eastAsia="PMingLiU" w:hAnsi="Times New Roman" w:cs="Times New Roman"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5">
    <w:nsid w:val="6D203C2A"/>
    <w:multiLevelType w:val="hybridMultilevel"/>
    <w:tmpl w:val="9576474C"/>
    <w:lvl w:ilvl="0" w:tplc="9BFC8000">
      <w:start w:val="1"/>
      <w:numFmt w:val="bullet"/>
      <w:lvlText w:val="›"/>
      <w:lvlJc w:val="left"/>
      <w:pPr>
        <w:tabs>
          <w:tab w:val="num" w:pos="720"/>
        </w:tabs>
        <w:ind w:left="720" w:hanging="360"/>
      </w:pPr>
      <w:rPr>
        <w:rFonts w:ascii="Ericsson Capital TT" w:hAnsi="Ericsson Capital TT" w:hint="default"/>
      </w:rPr>
    </w:lvl>
    <w:lvl w:ilvl="1" w:tplc="12385D1E" w:tentative="1">
      <w:start w:val="1"/>
      <w:numFmt w:val="bullet"/>
      <w:lvlText w:val="›"/>
      <w:lvlJc w:val="left"/>
      <w:pPr>
        <w:tabs>
          <w:tab w:val="num" w:pos="1440"/>
        </w:tabs>
        <w:ind w:left="1440" w:hanging="360"/>
      </w:pPr>
      <w:rPr>
        <w:rFonts w:ascii="Ericsson Capital TT" w:hAnsi="Ericsson Capital TT" w:hint="default"/>
      </w:rPr>
    </w:lvl>
    <w:lvl w:ilvl="2" w:tplc="D4787C78">
      <w:start w:val="1"/>
      <w:numFmt w:val="bullet"/>
      <w:lvlText w:val="›"/>
      <w:lvlJc w:val="left"/>
      <w:pPr>
        <w:tabs>
          <w:tab w:val="num" w:pos="2160"/>
        </w:tabs>
        <w:ind w:left="2160" w:hanging="360"/>
      </w:pPr>
      <w:rPr>
        <w:rFonts w:ascii="Ericsson Capital TT" w:hAnsi="Ericsson Capital TT" w:hint="default"/>
      </w:rPr>
    </w:lvl>
    <w:lvl w:ilvl="3" w:tplc="AD480DE4" w:tentative="1">
      <w:start w:val="1"/>
      <w:numFmt w:val="bullet"/>
      <w:lvlText w:val="›"/>
      <w:lvlJc w:val="left"/>
      <w:pPr>
        <w:tabs>
          <w:tab w:val="num" w:pos="2880"/>
        </w:tabs>
        <w:ind w:left="2880" w:hanging="360"/>
      </w:pPr>
      <w:rPr>
        <w:rFonts w:ascii="Ericsson Capital TT" w:hAnsi="Ericsson Capital TT" w:hint="default"/>
      </w:rPr>
    </w:lvl>
    <w:lvl w:ilvl="4" w:tplc="432EAD9A" w:tentative="1">
      <w:start w:val="1"/>
      <w:numFmt w:val="bullet"/>
      <w:lvlText w:val="›"/>
      <w:lvlJc w:val="left"/>
      <w:pPr>
        <w:tabs>
          <w:tab w:val="num" w:pos="3600"/>
        </w:tabs>
        <w:ind w:left="3600" w:hanging="360"/>
      </w:pPr>
      <w:rPr>
        <w:rFonts w:ascii="Ericsson Capital TT" w:hAnsi="Ericsson Capital TT" w:hint="default"/>
      </w:rPr>
    </w:lvl>
    <w:lvl w:ilvl="5" w:tplc="83E6A5D8" w:tentative="1">
      <w:start w:val="1"/>
      <w:numFmt w:val="bullet"/>
      <w:lvlText w:val="›"/>
      <w:lvlJc w:val="left"/>
      <w:pPr>
        <w:tabs>
          <w:tab w:val="num" w:pos="4320"/>
        </w:tabs>
        <w:ind w:left="4320" w:hanging="360"/>
      </w:pPr>
      <w:rPr>
        <w:rFonts w:ascii="Ericsson Capital TT" w:hAnsi="Ericsson Capital TT" w:hint="default"/>
      </w:rPr>
    </w:lvl>
    <w:lvl w:ilvl="6" w:tplc="E66C7402" w:tentative="1">
      <w:start w:val="1"/>
      <w:numFmt w:val="bullet"/>
      <w:lvlText w:val="›"/>
      <w:lvlJc w:val="left"/>
      <w:pPr>
        <w:tabs>
          <w:tab w:val="num" w:pos="5040"/>
        </w:tabs>
        <w:ind w:left="5040" w:hanging="360"/>
      </w:pPr>
      <w:rPr>
        <w:rFonts w:ascii="Ericsson Capital TT" w:hAnsi="Ericsson Capital TT" w:hint="default"/>
      </w:rPr>
    </w:lvl>
    <w:lvl w:ilvl="7" w:tplc="0AE43080" w:tentative="1">
      <w:start w:val="1"/>
      <w:numFmt w:val="bullet"/>
      <w:lvlText w:val="›"/>
      <w:lvlJc w:val="left"/>
      <w:pPr>
        <w:tabs>
          <w:tab w:val="num" w:pos="5760"/>
        </w:tabs>
        <w:ind w:left="5760" w:hanging="360"/>
      </w:pPr>
      <w:rPr>
        <w:rFonts w:ascii="Ericsson Capital TT" w:hAnsi="Ericsson Capital TT" w:hint="default"/>
      </w:rPr>
    </w:lvl>
    <w:lvl w:ilvl="8" w:tplc="FE00CEA2" w:tentative="1">
      <w:start w:val="1"/>
      <w:numFmt w:val="bullet"/>
      <w:lvlText w:val="›"/>
      <w:lvlJc w:val="left"/>
      <w:pPr>
        <w:tabs>
          <w:tab w:val="num" w:pos="6480"/>
        </w:tabs>
        <w:ind w:left="6480" w:hanging="360"/>
      </w:pPr>
      <w:rPr>
        <w:rFonts w:ascii="Ericsson Capital TT" w:hAnsi="Ericsson Capital TT" w:hint="default"/>
      </w:rPr>
    </w:lvl>
  </w:abstractNum>
  <w:abstractNum w:abstractNumId="36">
    <w:nsid w:val="71BB5EC6"/>
    <w:multiLevelType w:val="multilevel"/>
    <w:tmpl w:val="608679F6"/>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72BC76FE"/>
    <w:multiLevelType w:val="hybridMultilevel"/>
    <w:tmpl w:val="68D05BDC"/>
    <w:lvl w:ilvl="0" w:tplc="7526956C">
      <w:start w:val="1"/>
      <w:numFmt w:val="bullet"/>
      <w:lvlText w:val="›"/>
      <w:lvlJc w:val="left"/>
      <w:pPr>
        <w:tabs>
          <w:tab w:val="num" w:pos="720"/>
        </w:tabs>
        <w:ind w:left="720" w:hanging="360"/>
      </w:pPr>
      <w:rPr>
        <w:rFonts w:ascii="Arial" w:hAnsi="Arial" w:hint="default"/>
      </w:rPr>
    </w:lvl>
    <w:lvl w:ilvl="1" w:tplc="F47E4EAA">
      <w:start w:val="2860"/>
      <w:numFmt w:val="bullet"/>
      <w:lvlText w:val="–"/>
      <w:lvlJc w:val="left"/>
      <w:pPr>
        <w:tabs>
          <w:tab w:val="num" w:pos="1440"/>
        </w:tabs>
        <w:ind w:left="1440" w:hanging="360"/>
      </w:pPr>
      <w:rPr>
        <w:rFonts w:ascii="Ericsson Capital TT" w:hAnsi="Ericsson Capital TT" w:hint="default"/>
      </w:rPr>
    </w:lvl>
    <w:lvl w:ilvl="2" w:tplc="4B0A214C" w:tentative="1">
      <w:start w:val="1"/>
      <w:numFmt w:val="bullet"/>
      <w:lvlText w:val="›"/>
      <w:lvlJc w:val="left"/>
      <w:pPr>
        <w:tabs>
          <w:tab w:val="num" w:pos="2160"/>
        </w:tabs>
        <w:ind w:left="2160" w:hanging="360"/>
      </w:pPr>
      <w:rPr>
        <w:rFonts w:ascii="Arial" w:hAnsi="Arial" w:hint="default"/>
      </w:rPr>
    </w:lvl>
    <w:lvl w:ilvl="3" w:tplc="CA3E68FA" w:tentative="1">
      <w:start w:val="1"/>
      <w:numFmt w:val="bullet"/>
      <w:lvlText w:val="›"/>
      <w:lvlJc w:val="left"/>
      <w:pPr>
        <w:tabs>
          <w:tab w:val="num" w:pos="2880"/>
        </w:tabs>
        <w:ind w:left="2880" w:hanging="360"/>
      </w:pPr>
      <w:rPr>
        <w:rFonts w:ascii="Arial" w:hAnsi="Arial" w:hint="default"/>
      </w:rPr>
    </w:lvl>
    <w:lvl w:ilvl="4" w:tplc="958EF02C" w:tentative="1">
      <w:start w:val="1"/>
      <w:numFmt w:val="bullet"/>
      <w:lvlText w:val="›"/>
      <w:lvlJc w:val="left"/>
      <w:pPr>
        <w:tabs>
          <w:tab w:val="num" w:pos="3600"/>
        </w:tabs>
        <w:ind w:left="3600" w:hanging="360"/>
      </w:pPr>
      <w:rPr>
        <w:rFonts w:ascii="Arial" w:hAnsi="Arial" w:hint="default"/>
      </w:rPr>
    </w:lvl>
    <w:lvl w:ilvl="5" w:tplc="74CAD422" w:tentative="1">
      <w:start w:val="1"/>
      <w:numFmt w:val="bullet"/>
      <w:lvlText w:val="›"/>
      <w:lvlJc w:val="left"/>
      <w:pPr>
        <w:tabs>
          <w:tab w:val="num" w:pos="4320"/>
        </w:tabs>
        <w:ind w:left="4320" w:hanging="360"/>
      </w:pPr>
      <w:rPr>
        <w:rFonts w:ascii="Arial" w:hAnsi="Arial" w:hint="default"/>
      </w:rPr>
    </w:lvl>
    <w:lvl w:ilvl="6" w:tplc="D17AF36C" w:tentative="1">
      <w:start w:val="1"/>
      <w:numFmt w:val="bullet"/>
      <w:lvlText w:val="›"/>
      <w:lvlJc w:val="left"/>
      <w:pPr>
        <w:tabs>
          <w:tab w:val="num" w:pos="5040"/>
        </w:tabs>
        <w:ind w:left="5040" w:hanging="360"/>
      </w:pPr>
      <w:rPr>
        <w:rFonts w:ascii="Arial" w:hAnsi="Arial" w:hint="default"/>
      </w:rPr>
    </w:lvl>
    <w:lvl w:ilvl="7" w:tplc="30547778" w:tentative="1">
      <w:start w:val="1"/>
      <w:numFmt w:val="bullet"/>
      <w:lvlText w:val="›"/>
      <w:lvlJc w:val="left"/>
      <w:pPr>
        <w:tabs>
          <w:tab w:val="num" w:pos="5760"/>
        </w:tabs>
        <w:ind w:left="5760" w:hanging="360"/>
      </w:pPr>
      <w:rPr>
        <w:rFonts w:ascii="Arial" w:hAnsi="Arial" w:hint="default"/>
      </w:rPr>
    </w:lvl>
    <w:lvl w:ilvl="8" w:tplc="90FC8CAC" w:tentative="1">
      <w:start w:val="1"/>
      <w:numFmt w:val="bullet"/>
      <w:lvlText w:val="›"/>
      <w:lvlJc w:val="left"/>
      <w:pPr>
        <w:tabs>
          <w:tab w:val="num" w:pos="6480"/>
        </w:tabs>
        <w:ind w:left="6480" w:hanging="360"/>
      </w:pPr>
      <w:rPr>
        <w:rFonts w:ascii="Arial" w:hAnsi="Arial" w:hint="default"/>
      </w:rPr>
    </w:lvl>
  </w:abstractNum>
  <w:abstractNum w:abstractNumId="38">
    <w:nsid w:val="79724CA1"/>
    <w:multiLevelType w:val="hybridMultilevel"/>
    <w:tmpl w:val="0888B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DC94B82"/>
    <w:multiLevelType w:val="hybridMultilevel"/>
    <w:tmpl w:val="F80A4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8"/>
  </w:num>
  <w:num w:numId="3">
    <w:abstractNumId w:val="21"/>
  </w:num>
  <w:num w:numId="4">
    <w:abstractNumId w:val="22"/>
  </w:num>
  <w:num w:numId="5">
    <w:abstractNumId w:val="16"/>
  </w:num>
  <w:num w:numId="6">
    <w:abstractNumId w:val="25"/>
  </w:num>
  <w:num w:numId="7">
    <w:abstractNumId w:val="31"/>
  </w:num>
  <w:num w:numId="8">
    <w:abstractNumId w:val="17"/>
  </w:num>
  <w:num w:numId="9">
    <w:abstractNumId w:val="15"/>
  </w:num>
  <w:num w:numId="10">
    <w:abstractNumId w:val="3"/>
  </w:num>
  <w:num w:numId="11">
    <w:abstractNumId w:val="2"/>
  </w:num>
  <w:num w:numId="12">
    <w:abstractNumId w:val="1"/>
  </w:num>
  <w:num w:numId="13">
    <w:abstractNumId w:val="29"/>
  </w:num>
  <w:num w:numId="14">
    <w:abstractNumId w:val="37"/>
  </w:num>
  <w:num w:numId="15">
    <w:abstractNumId w:val="14"/>
  </w:num>
  <w:num w:numId="16">
    <w:abstractNumId w:val="9"/>
  </w:num>
  <w:num w:numId="17">
    <w:abstractNumId w:val="26"/>
  </w:num>
  <w:num w:numId="18">
    <w:abstractNumId w:val="12"/>
  </w:num>
  <w:num w:numId="19">
    <w:abstractNumId w:val="32"/>
  </w:num>
  <w:num w:numId="20">
    <w:abstractNumId w:val="5"/>
  </w:num>
  <w:num w:numId="21">
    <w:abstractNumId w:val="24"/>
  </w:num>
  <w:num w:numId="22">
    <w:abstractNumId w:val="13"/>
  </w:num>
  <w:num w:numId="23">
    <w:abstractNumId w:val="11"/>
  </w:num>
  <w:num w:numId="24">
    <w:abstractNumId w:val="30"/>
  </w:num>
  <w:num w:numId="25">
    <w:abstractNumId w:val="10"/>
  </w:num>
  <w:num w:numId="26">
    <w:abstractNumId w:val="8"/>
  </w:num>
  <w:num w:numId="27">
    <w:abstractNumId w:val="33"/>
  </w:num>
  <w:num w:numId="28">
    <w:abstractNumId w:val="19"/>
  </w:num>
  <w:num w:numId="29">
    <w:abstractNumId w:val="7"/>
  </w:num>
  <w:num w:numId="30">
    <w:abstractNumId w:val="0"/>
  </w:num>
  <w:num w:numId="31">
    <w:abstractNumId w:val="6"/>
  </w:num>
  <w:num w:numId="32">
    <w:abstractNumId w:val="18"/>
  </w:num>
  <w:num w:numId="33">
    <w:abstractNumId w:val="23"/>
  </w:num>
  <w:num w:numId="34">
    <w:abstractNumId w:val="35"/>
  </w:num>
  <w:num w:numId="35">
    <w:abstractNumId w:val="34"/>
  </w:num>
  <w:num w:numId="36">
    <w:abstractNumId w:val="20"/>
  </w:num>
  <w:num w:numId="37">
    <w:abstractNumId w:val="21"/>
  </w:num>
  <w:num w:numId="38">
    <w:abstractNumId w:val="27"/>
  </w:num>
  <w:num w:numId="39">
    <w:abstractNumId w:val="21"/>
    <w:lvlOverride w:ilvl="0">
      <w:startOverride w:val="1"/>
    </w:lvlOverride>
  </w:num>
  <w:num w:numId="40">
    <w:abstractNumId w:val="21"/>
    <w:lvlOverride w:ilvl="0">
      <w:startOverride w:val="1"/>
    </w:lvlOverride>
  </w:num>
  <w:num w:numId="41">
    <w:abstractNumId w:val="39"/>
  </w:num>
  <w:num w:numId="42">
    <w:abstractNumId w:val="38"/>
  </w:num>
  <w:num w:numId="43">
    <w:abstractNumId w:val="21"/>
  </w:num>
  <w:num w:numId="44">
    <w:abstractNumId w:val="36"/>
  </w:num>
  <w:num w:numId="45">
    <w:abstractNumId w:val="21"/>
  </w:num>
  <w:num w:numId="46">
    <w:abstractNumId w:val="2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074"/>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B76"/>
    <w:rsid w:val="00006446"/>
    <w:rsid w:val="00006896"/>
    <w:rsid w:val="00007CDC"/>
    <w:rsid w:val="00010AA3"/>
    <w:rsid w:val="00011B28"/>
    <w:rsid w:val="00011CBC"/>
    <w:rsid w:val="00012CA8"/>
    <w:rsid w:val="00015420"/>
    <w:rsid w:val="00015D15"/>
    <w:rsid w:val="00022E99"/>
    <w:rsid w:val="0002564D"/>
    <w:rsid w:val="00025ECA"/>
    <w:rsid w:val="0002650C"/>
    <w:rsid w:val="00030F72"/>
    <w:rsid w:val="000325B8"/>
    <w:rsid w:val="00034C15"/>
    <w:rsid w:val="00036BA1"/>
    <w:rsid w:val="000422E2"/>
    <w:rsid w:val="000426E4"/>
    <w:rsid w:val="00042F22"/>
    <w:rsid w:val="000444EF"/>
    <w:rsid w:val="00050C3D"/>
    <w:rsid w:val="00052A07"/>
    <w:rsid w:val="000534E3"/>
    <w:rsid w:val="0005606A"/>
    <w:rsid w:val="00056744"/>
    <w:rsid w:val="00057117"/>
    <w:rsid w:val="00060609"/>
    <w:rsid w:val="000616E7"/>
    <w:rsid w:val="0006487E"/>
    <w:rsid w:val="00065E1A"/>
    <w:rsid w:val="0007384F"/>
    <w:rsid w:val="00077E5F"/>
    <w:rsid w:val="0008036A"/>
    <w:rsid w:val="00081AE6"/>
    <w:rsid w:val="000855EB"/>
    <w:rsid w:val="00085B52"/>
    <w:rsid w:val="000866F2"/>
    <w:rsid w:val="0009009F"/>
    <w:rsid w:val="00091557"/>
    <w:rsid w:val="000924C1"/>
    <w:rsid w:val="000924F0"/>
    <w:rsid w:val="00093474"/>
    <w:rsid w:val="00094C55"/>
    <w:rsid w:val="0009510F"/>
    <w:rsid w:val="000A1B7B"/>
    <w:rsid w:val="000A56F2"/>
    <w:rsid w:val="000A64DF"/>
    <w:rsid w:val="000A7FAF"/>
    <w:rsid w:val="000B2719"/>
    <w:rsid w:val="000B3A8F"/>
    <w:rsid w:val="000B4318"/>
    <w:rsid w:val="000B4AB9"/>
    <w:rsid w:val="000B58C3"/>
    <w:rsid w:val="000B61E9"/>
    <w:rsid w:val="000C165A"/>
    <w:rsid w:val="000C2E19"/>
    <w:rsid w:val="000D0D07"/>
    <w:rsid w:val="000D227B"/>
    <w:rsid w:val="000D4797"/>
    <w:rsid w:val="000E0527"/>
    <w:rsid w:val="000E1E92"/>
    <w:rsid w:val="000E7E52"/>
    <w:rsid w:val="000F06D6"/>
    <w:rsid w:val="000F0EB1"/>
    <w:rsid w:val="000F1106"/>
    <w:rsid w:val="000F3BE9"/>
    <w:rsid w:val="000F3F6C"/>
    <w:rsid w:val="000F6DF3"/>
    <w:rsid w:val="001005FF"/>
    <w:rsid w:val="00100F45"/>
    <w:rsid w:val="001062FB"/>
    <w:rsid w:val="001063E6"/>
    <w:rsid w:val="00113CF4"/>
    <w:rsid w:val="001149AB"/>
    <w:rsid w:val="001153EA"/>
    <w:rsid w:val="00115643"/>
    <w:rsid w:val="00116765"/>
    <w:rsid w:val="001219F5"/>
    <w:rsid w:val="00121A20"/>
    <w:rsid w:val="0012377F"/>
    <w:rsid w:val="00124314"/>
    <w:rsid w:val="00126B4A"/>
    <w:rsid w:val="00132FD0"/>
    <w:rsid w:val="00133D1A"/>
    <w:rsid w:val="00133EBB"/>
    <w:rsid w:val="001344C0"/>
    <w:rsid w:val="001346FA"/>
    <w:rsid w:val="00134F5B"/>
    <w:rsid w:val="00135252"/>
    <w:rsid w:val="0013786E"/>
    <w:rsid w:val="00137AB5"/>
    <w:rsid w:val="00137F0B"/>
    <w:rsid w:val="00143008"/>
    <w:rsid w:val="00146AFF"/>
    <w:rsid w:val="00151E23"/>
    <w:rsid w:val="001526E0"/>
    <w:rsid w:val="001551B5"/>
    <w:rsid w:val="00156D08"/>
    <w:rsid w:val="00160645"/>
    <w:rsid w:val="00163754"/>
    <w:rsid w:val="001659C1"/>
    <w:rsid w:val="00173A8E"/>
    <w:rsid w:val="00176232"/>
    <w:rsid w:val="0018143F"/>
    <w:rsid w:val="001828FF"/>
    <w:rsid w:val="001843CB"/>
    <w:rsid w:val="00187E5E"/>
    <w:rsid w:val="00190AC1"/>
    <w:rsid w:val="0019341A"/>
    <w:rsid w:val="001972F2"/>
    <w:rsid w:val="00197DF9"/>
    <w:rsid w:val="001A1987"/>
    <w:rsid w:val="001A2564"/>
    <w:rsid w:val="001A37E4"/>
    <w:rsid w:val="001A6173"/>
    <w:rsid w:val="001A6CBA"/>
    <w:rsid w:val="001B0D97"/>
    <w:rsid w:val="001B3D79"/>
    <w:rsid w:val="001B5A5D"/>
    <w:rsid w:val="001C1CE5"/>
    <w:rsid w:val="001C3D2A"/>
    <w:rsid w:val="001D51BA"/>
    <w:rsid w:val="001D6342"/>
    <w:rsid w:val="001D6D53"/>
    <w:rsid w:val="001E58E2"/>
    <w:rsid w:val="001E7AED"/>
    <w:rsid w:val="001F3916"/>
    <w:rsid w:val="001F4C09"/>
    <w:rsid w:val="001F54C5"/>
    <w:rsid w:val="001F662C"/>
    <w:rsid w:val="001F7074"/>
    <w:rsid w:val="00200490"/>
    <w:rsid w:val="00201F3A"/>
    <w:rsid w:val="00203F77"/>
    <w:rsid w:val="00203F96"/>
    <w:rsid w:val="002069B2"/>
    <w:rsid w:val="00207FA3"/>
    <w:rsid w:val="002109B0"/>
    <w:rsid w:val="0021200B"/>
    <w:rsid w:val="00214DA8"/>
    <w:rsid w:val="00215423"/>
    <w:rsid w:val="002158FA"/>
    <w:rsid w:val="0021600B"/>
    <w:rsid w:val="00220600"/>
    <w:rsid w:val="002224DB"/>
    <w:rsid w:val="00223FCB"/>
    <w:rsid w:val="002252C3"/>
    <w:rsid w:val="00225C54"/>
    <w:rsid w:val="00230765"/>
    <w:rsid w:val="002319E4"/>
    <w:rsid w:val="00233223"/>
    <w:rsid w:val="00235632"/>
    <w:rsid w:val="00235872"/>
    <w:rsid w:val="00241559"/>
    <w:rsid w:val="002435B3"/>
    <w:rsid w:val="002458EB"/>
    <w:rsid w:val="002500C8"/>
    <w:rsid w:val="00250FB9"/>
    <w:rsid w:val="00255D91"/>
    <w:rsid w:val="00257543"/>
    <w:rsid w:val="00260336"/>
    <w:rsid w:val="002617E7"/>
    <w:rsid w:val="00264228"/>
    <w:rsid w:val="00264334"/>
    <w:rsid w:val="0026473E"/>
    <w:rsid w:val="00265CDA"/>
    <w:rsid w:val="00266214"/>
    <w:rsid w:val="00266450"/>
    <w:rsid w:val="00266E7F"/>
    <w:rsid w:val="00267C83"/>
    <w:rsid w:val="0027144F"/>
    <w:rsid w:val="00271F3A"/>
    <w:rsid w:val="002720A0"/>
    <w:rsid w:val="00273278"/>
    <w:rsid w:val="002737F4"/>
    <w:rsid w:val="002805F5"/>
    <w:rsid w:val="00280751"/>
    <w:rsid w:val="0028280A"/>
    <w:rsid w:val="0028374C"/>
    <w:rsid w:val="0028449B"/>
    <w:rsid w:val="00286ACD"/>
    <w:rsid w:val="00287838"/>
    <w:rsid w:val="002907B5"/>
    <w:rsid w:val="00292EB7"/>
    <w:rsid w:val="00294CE0"/>
    <w:rsid w:val="00296227"/>
    <w:rsid w:val="00296F44"/>
    <w:rsid w:val="0029777D"/>
    <w:rsid w:val="002A055E"/>
    <w:rsid w:val="002A13A7"/>
    <w:rsid w:val="002A1D4E"/>
    <w:rsid w:val="002A2869"/>
    <w:rsid w:val="002B24D6"/>
    <w:rsid w:val="002B667A"/>
    <w:rsid w:val="002B76D2"/>
    <w:rsid w:val="002C41E6"/>
    <w:rsid w:val="002D071A"/>
    <w:rsid w:val="002D34B2"/>
    <w:rsid w:val="002D7227"/>
    <w:rsid w:val="002D7637"/>
    <w:rsid w:val="002E17F2"/>
    <w:rsid w:val="002E7CAE"/>
    <w:rsid w:val="002F07E0"/>
    <w:rsid w:val="002F2771"/>
    <w:rsid w:val="002F37A9"/>
    <w:rsid w:val="00301CE6"/>
    <w:rsid w:val="0030256B"/>
    <w:rsid w:val="003045DA"/>
    <w:rsid w:val="0030501F"/>
    <w:rsid w:val="00307BA1"/>
    <w:rsid w:val="00311702"/>
    <w:rsid w:val="00311E82"/>
    <w:rsid w:val="00313FD6"/>
    <w:rsid w:val="003143BD"/>
    <w:rsid w:val="003149A9"/>
    <w:rsid w:val="00317AA8"/>
    <w:rsid w:val="003203ED"/>
    <w:rsid w:val="00322C9F"/>
    <w:rsid w:val="0032460C"/>
    <w:rsid w:val="00324863"/>
    <w:rsid w:val="00324D23"/>
    <w:rsid w:val="00331751"/>
    <w:rsid w:val="00334579"/>
    <w:rsid w:val="00335858"/>
    <w:rsid w:val="00336BDA"/>
    <w:rsid w:val="00340143"/>
    <w:rsid w:val="00342BD7"/>
    <w:rsid w:val="00346DB5"/>
    <w:rsid w:val="00347413"/>
    <w:rsid w:val="003477B1"/>
    <w:rsid w:val="00357380"/>
    <w:rsid w:val="003602D9"/>
    <w:rsid w:val="003604CE"/>
    <w:rsid w:val="00364B67"/>
    <w:rsid w:val="00364E19"/>
    <w:rsid w:val="00367B92"/>
    <w:rsid w:val="00370E47"/>
    <w:rsid w:val="003742AC"/>
    <w:rsid w:val="00377900"/>
    <w:rsid w:val="00377B96"/>
    <w:rsid w:val="00377CE1"/>
    <w:rsid w:val="00385BF0"/>
    <w:rsid w:val="003920DF"/>
    <w:rsid w:val="003939FF"/>
    <w:rsid w:val="00394FCD"/>
    <w:rsid w:val="003A2223"/>
    <w:rsid w:val="003A2A0F"/>
    <w:rsid w:val="003A45A1"/>
    <w:rsid w:val="003A5B0A"/>
    <w:rsid w:val="003A5D3F"/>
    <w:rsid w:val="003A6BAC"/>
    <w:rsid w:val="003A7EF3"/>
    <w:rsid w:val="003B159C"/>
    <w:rsid w:val="003B369F"/>
    <w:rsid w:val="003B36A3"/>
    <w:rsid w:val="003B7FE5"/>
    <w:rsid w:val="003C0C1B"/>
    <w:rsid w:val="003C11C8"/>
    <w:rsid w:val="003C2702"/>
    <w:rsid w:val="003C483D"/>
    <w:rsid w:val="003C7806"/>
    <w:rsid w:val="003D109F"/>
    <w:rsid w:val="003D2478"/>
    <w:rsid w:val="003D3C45"/>
    <w:rsid w:val="003D5B1F"/>
    <w:rsid w:val="003D5CF4"/>
    <w:rsid w:val="003D7763"/>
    <w:rsid w:val="003E15FA"/>
    <w:rsid w:val="003E2258"/>
    <w:rsid w:val="003E55E4"/>
    <w:rsid w:val="003E74E3"/>
    <w:rsid w:val="003F05C7"/>
    <w:rsid w:val="003F2CD4"/>
    <w:rsid w:val="003F6BBE"/>
    <w:rsid w:val="004000E8"/>
    <w:rsid w:val="00400488"/>
    <w:rsid w:val="00402E2B"/>
    <w:rsid w:val="004037E3"/>
    <w:rsid w:val="0040512B"/>
    <w:rsid w:val="00405CA5"/>
    <w:rsid w:val="00407CD3"/>
    <w:rsid w:val="00410134"/>
    <w:rsid w:val="00410B72"/>
    <w:rsid w:val="00410F18"/>
    <w:rsid w:val="004117A3"/>
    <w:rsid w:val="0041263E"/>
    <w:rsid w:val="00413AAC"/>
    <w:rsid w:val="00416834"/>
    <w:rsid w:val="00421105"/>
    <w:rsid w:val="00421BF0"/>
    <w:rsid w:val="004242F4"/>
    <w:rsid w:val="00424DD0"/>
    <w:rsid w:val="00427248"/>
    <w:rsid w:val="00437447"/>
    <w:rsid w:val="00441A92"/>
    <w:rsid w:val="00444F56"/>
    <w:rsid w:val="00446488"/>
    <w:rsid w:val="004517AA"/>
    <w:rsid w:val="00452CAC"/>
    <w:rsid w:val="004537A5"/>
    <w:rsid w:val="00457565"/>
    <w:rsid w:val="00457B71"/>
    <w:rsid w:val="00462F17"/>
    <w:rsid w:val="004669E2"/>
    <w:rsid w:val="00470096"/>
    <w:rsid w:val="00470C31"/>
    <w:rsid w:val="004734D0"/>
    <w:rsid w:val="0047556B"/>
    <w:rsid w:val="00477768"/>
    <w:rsid w:val="004914B2"/>
    <w:rsid w:val="00492BC5"/>
    <w:rsid w:val="004964F1"/>
    <w:rsid w:val="004A16BC"/>
    <w:rsid w:val="004A2B94"/>
    <w:rsid w:val="004A3B43"/>
    <w:rsid w:val="004B0F15"/>
    <w:rsid w:val="004B60BB"/>
    <w:rsid w:val="004B7C0C"/>
    <w:rsid w:val="004C0BA7"/>
    <w:rsid w:val="004C3894"/>
    <w:rsid w:val="004C3898"/>
    <w:rsid w:val="004D36B1"/>
    <w:rsid w:val="004D64B4"/>
    <w:rsid w:val="004D7EBD"/>
    <w:rsid w:val="004E2680"/>
    <w:rsid w:val="004E28F9"/>
    <w:rsid w:val="004E462E"/>
    <w:rsid w:val="004E56DC"/>
    <w:rsid w:val="004E76F4"/>
    <w:rsid w:val="004F0B4E"/>
    <w:rsid w:val="004F0B6C"/>
    <w:rsid w:val="004F2078"/>
    <w:rsid w:val="004F2AA3"/>
    <w:rsid w:val="004F2F97"/>
    <w:rsid w:val="004F4DA3"/>
    <w:rsid w:val="00501C62"/>
    <w:rsid w:val="0050485E"/>
    <w:rsid w:val="00504879"/>
    <w:rsid w:val="00506557"/>
    <w:rsid w:val="0050677A"/>
    <w:rsid w:val="00510524"/>
    <w:rsid w:val="005108D8"/>
    <w:rsid w:val="005116F9"/>
    <w:rsid w:val="005153A7"/>
    <w:rsid w:val="005219CF"/>
    <w:rsid w:val="005253DB"/>
    <w:rsid w:val="00527A4E"/>
    <w:rsid w:val="00530FD1"/>
    <w:rsid w:val="0053144F"/>
    <w:rsid w:val="00534B59"/>
    <w:rsid w:val="00535913"/>
    <w:rsid w:val="0053648E"/>
    <w:rsid w:val="00536759"/>
    <w:rsid w:val="00537C62"/>
    <w:rsid w:val="00546970"/>
    <w:rsid w:val="00553B28"/>
    <w:rsid w:val="00554E19"/>
    <w:rsid w:val="00555C52"/>
    <w:rsid w:val="0056121F"/>
    <w:rsid w:val="00567C88"/>
    <w:rsid w:val="00572505"/>
    <w:rsid w:val="00576371"/>
    <w:rsid w:val="00577157"/>
    <w:rsid w:val="00582809"/>
    <w:rsid w:val="0058798C"/>
    <w:rsid w:val="00587D0A"/>
    <w:rsid w:val="00587FA9"/>
    <w:rsid w:val="005900FA"/>
    <w:rsid w:val="00590569"/>
    <w:rsid w:val="00591FCE"/>
    <w:rsid w:val="005935A4"/>
    <w:rsid w:val="005948C2"/>
    <w:rsid w:val="00595DCA"/>
    <w:rsid w:val="0059779B"/>
    <w:rsid w:val="005A209A"/>
    <w:rsid w:val="005A24B9"/>
    <w:rsid w:val="005A662D"/>
    <w:rsid w:val="005A71DA"/>
    <w:rsid w:val="005B1E71"/>
    <w:rsid w:val="005B35D7"/>
    <w:rsid w:val="005B392A"/>
    <w:rsid w:val="005B3AA3"/>
    <w:rsid w:val="005B6F83"/>
    <w:rsid w:val="005C74FB"/>
    <w:rsid w:val="005D1602"/>
    <w:rsid w:val="005D2CD1"/>
    <w:rsid w:val="005D321A"/>
    <w:rsid w:val="005E241A"/>
    <w:rsid w:val="005E385F"/>
    <w:rsid w:val="005E5834"/>
    <w:rsid w:val="005E5B81"/>
    <w:rsid w:val="005F2CB1"/>
    <w:rsid w:val="005F3025"/>
    <w:rsid w:val="005F618C"/>
    <w:rsid w:val="005F70BD"/>
    <w:rsid w:val="005F7E14"/>
    <w:rsid w:val="0060283C"/>
    <w:rsid w:val="00604F14"/>
    <w:rsid w:val="00606FEF"/>
    <w:rsid w:val="00611B83"/>
    <w:rsid w:val="00613257"/>
    <w:rsid w:val="00620A71"/>
    <w:rsid w:val="00620D80"/>
    <w:rsid w:val="00622C7D"/>
    <w:rsid w:val="006234A6"/>
    <w:rsid w:val="00623F7C"/>
    <w:rsid w:val="00626E9E"/>
    <w:rsid w:val="00627032"/>
    <w:rsid w:val="00630001"/>
    <w:rsid w:val="006311B3"/>
    <w:rsid w:val="00631F81"/>
    <w:rsid w:val="0063284C"/>
    <w:rsid w:val="00634A05"/>
    <w:rsid w:val="00636398"/>
    <w:rsid w:val="006368D3"/>
    <w:rsid w:val="006377EC"/>
    <w:rsid w:val="0064151F"/>
    <w:rsid w:val="00641533"/>
    <w:rsid w:val="0064208D"/>
    <w:rsid w:val="00643475"/>
    <w:rsid w:val="0064396A"/>
    <w:rsid w:val="00645491"/>
    <w:rsid w:val="0064624E"/>
    <w:rsid w:val="00650AB9"/>
    <w:rsid w:val="006536CF"/>
    <w:rsid w:val="00655733"/>
    <w:rsid w:val="00655ACD"/>
    <w:rsid w:val="00656A92"/>
    <w:rsid w:val="00656DDE"/>
    <w:rsid w:val="00657E73"/>
    <w:rsid w:val="0066011D"/>
    <w:rsid w:val="006607C0"/>
    <w:rsid w:val="006613A6"/>
    <w:rsid w:val="006627A2"/>
    <w:rsid w:val="006634E6"/>
    <w:rsid w:val="006655EE"/>
    <w:rsid w:val="00667EE7"/>
    <w:rsid w:val="00670922"/>
    <w:rsid w:val="00670BE1"/>
    <w:rsid w:val="00671125"/>
    <w:rsid w:val="0067218F"/>
    <w:rsid w:val="006741F2"/>
    <w:rsid w:val="00674CC3"/>
    <w:rsid w:val="00675C72"/>
    <w:rsid w:val="006770EC"/>
    <w:rsid w:val="006771F9"/>
    <w:rsid w:val="006776D7"/>
    <w:rsid w:val="00681003"/>
    <w:rsid w:val="006817C9"/>
    <w:rsid w:val="00683ECE"/>
    <w:rsid w:val="00692EB9"/>
    <w:rsid w:val="00695FC2"/>
    <w:rsid w:val="00696949"/>
    <w:rsid w:val="00697052"/>
    <w:rsid w:val="006A0FB5"/>
    <w:rsid w:val="006A338A"/>
    <w:rsid w:val="006A46FB"/>
    <w:rsid w:val="006A5D56"/>
    <w:rsid w:val="006A5E28"/>
    <w:rsid w:val="006A697B"/>
    <w:rsid w:val="006A7AFF"/>
    <w:rsid w:val="006B1816"/>
    <w:rsid w:val="006B2099"/>
    <w:rsid w:val="006B50CF"/>
    <w:rsid w:val="006C03B8"/>
    <w:rsid w:val="006C2AB6"/>
    <w:rsid w:val="006C5EC9"/>
    <w:rsid w:val="006C6059"/>
    <w:rsid w:val="006C7522"/>
    <w:rsid w:val="006D0199"/>
    <w:rsid w:val="006D6F08"/>
    <w:rsid w:val="006E062C"/>
    <w:rsid w:val="006E1A26"/>
    <w:rsid w:val="006E28B7"/>
    <w:rsid w:val="006E3310"/>
    <w:rsid w:val="006E4E39"/>
    <w:rsid w:val="006E565E"/>
    <w:rsid w:val="006E5750"/>
    <w:rsid w:val="006E673D"/>
    <w:rsid w:val="006E7D3B"/>
    <w:rsid w:val="006F1B70"/>
    <w:rsid w:val="006F2128"/>
    <w:rsid w:val="006F341D"/>
    <w:rsid w:val="006F3CDE"/>
    <w:rsid w:val="006F58D4"/>
    <w:rsid w:val="006F6095"/>
    <w:rsid w:val="00700139"/>
    <w:rsid w:val="0070346E"/>
    <w:rsid w:val="00704EDB"/>
    <w:rsid w:val="007055D0"/>
    <w:rsid w:val="00706101"/>
    <w:rsid w:val="00707072"/>
    <w:rsid w:val="00707D61"/>
    <w:rsid w:val="00707F47"/>
    <w:rsid w:val="00711145"/>
    <w:rsid w:val="00712287"/>
    <w:rsid w:val="00712772"/>
    <w:rsid w:val="007148D3"/>
    <w:rsid w:val="00715B9A"/>
    <w:rsid w:val="00716A37"/>
    <w:rsid w:val="007254FF"/>
    <w:rsid w:val="00726EA6"/>
    <w:rsid w:val="00727208"/>
    <w:rsid w:val="00727680"/>
    <w:rsid w:val="0073208C"/>
    <w:rsid w:val="007323EC"/>
    <w:rsid w:val="00733EE5"/>
    <w:rsid w:val="007348B1"/>
    <w:rsid w:val="00734E46"/>
    <w:rsid w:val="00735268"/>
    <w:rsid w:val="007362A6"/>
    <w:rsid w:val="00736D7D"/>
    <w:rsid w:val="0074025F"/>
    <w:rsid w:val="00740E58"/>
    <w:rsid w:val="007445A0"/>
    <w:rsid w:val="0074524B"/>
    <w:rsid w:val="00747D8B"/>
    <w:rsid w:val="00751228"/>
    <w:rsid w:val="007571E1"/>
    <w:rsid w:val="007604B2"/>
    <w:rsid w:val="00765281"/>
    <w:rsid w:val="00766BAD"/>
    <w:rsid w:val="0076708C"/>
    <w:rsid w:val="007739A4"/>
    <w:rsid w:val="007755F2"/>
    <w:rsid w:val="00775706"/>
    <w:rsid w:val="00776971"/>
    <w:rsid w:val="0078177E"/>
    <w:rsid w:val="0078304C"/>
    <w:rsid w:val="00783673"/>
    <w:rsid w:val="00785490"/>
    <w:rsid w:val="00790B48"/>
    <w:rsid w:val="007925EA"/>
    <w:rsid w:val="00793CD8"/>
    <w:rsid w:val="007955C5"/>
    <w:rsid w:val="00795C92"/>
    <w:rsid w:val="00796231"/>
    <w:rsid w:val="007A1CB3"/>
    <w:rsid w:val="007A306F"/>
    <w:rsid w:val="007A43A6"/>
    <w:rsid w:val="007A58A6"/>
    <w:rsid w:val="007B3D2D"/>
    <w:rsid w:val="007B50AE"/>
    <w:rsid w:val="007B51DF"/>
    <w:rsid w:val="007B6282"/>
    <w:rsid w:val="007C05DD"/>
    <w:rsid w:val="007C3037"/>
    <w:rsid w:val="007C3D18"/>
    <w:rsid w:val="007C60BF"/>
    <w:rsid w:val="007C6A07"/>
    <w:rsid w:val="007C75A1"/>
    <w:rsid w:val="007C77A5"/>
    <w:rsid w:val="007D04E5"/>
    <w:rsid w:val="007D395C"/>
    <w:rsid w:val="007D5901"/>
    <w:rsid w:val="007D6B58"/>
    <w:rsid w:val="007D7526"/>
    <w:rsid w:val="007E315C"/>
    <w:rsid w:val="007E4610"/>
    <w:rsid w:val="007E4715"/>
    <w:rsid w:val="007E505B"/>
    <w:rsid w:val="007E7091"/>
    <w:rsid w:val="007F036A"/>
    <w:rsid w:val="008008D5"/>
    <w:rsid w:val="00803FAE"/>
    <w:rsid w:val="0080605F"/>
    <w:rsid w:val="00807786"/>
    <w:rsid w:val="00811FCB"/>
    <w:rsid w:val="00814D1E"/>
    <w:rsid w:val="008158D6"/>
    <w:rsid w:val="00817196"/>
    <w:rsid w:val="008235DB"/>
    <w:rsid w:val="00824AB4"/>
    <w:rsid w:val="008251D9"/>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B02"/>
    <w:rsid w:val="00877F18"/>
    <w:rsid w:val="0088279F"/>
    <w:rsid w:val="00883244"/>
    <w:rsid w:val="008847B7"/>
    <w:rsid w:val="008949D2"/>
    <w:rsid w:val="00894A88"/>
    <w:rsid w:val="00895386"/>
    <w:rsid w:val="008A18CD"/>
    <w:rsid w:val="008A21FF"/>
    <w:rsid w:val="008A2CE2"/>
    <w:rsid w:val="008A30AC"/>
    <w:rsid w:val="008A44B8"/>
    <w:rsid w:val="008A4B63"/>
    <w:rsid w:val="008A51A8"/>
    <w:rsid w:val="008A54C7"/>
    <w:rsid w:val="008A77D8"/>
    <w:rsid w:val="008B0483"/>
    <w:rsid w:val="008B120C"/>
    <w:rsid w:val="008B51A0"/>
    <w:rsid w:val="008B592A"/>
    <w:rsid w:val="008B7B5C"/>
    <w:rsid w:val="008C0C99"/>
    <w:rsid w:val="008C2017"/>
    <w:rsid w:val="008C493F"/>
    <w:rsid w:val="008C4958"/>
    <w:rsid w:val="008C4BAA"/>
    <w:rsid w:val="008C6AE8"/>
    <w:rsid w:val="008C7573"/>
    <w:rsid w:val="008D34F1"/>
    <w:rsid w:val="008D39D8"/>
    <w:rsid w:val="008D6D1A"/>
    <w:rsid w:val="008E065E"/>
    <w:rsid w:val="008E0927"/>
    <w:rsid w:val="008E1909"/>
    <w:rsid w:val="008F1EAB"/>
    <w:rsid w:val="008F33DC"/>
    <w:rsid w:val="008F444B"/>
    <w:rsid w:val="008F477F"/>
    <w:rsid w:val="008F4ABF"/>
    <w:rsid w:val="008F523A"/>
    <w:rsid w:val="00900C5C"/>
    <w:rsid w:val="00902350"/>
    <w:rsid w:val="0090336B"/>
    <w:rsid w:val="009053AA"/>
    <w:rsid w:val="00906939"/>
    <w:rsid w:val="00910B7D"/>
    <w:rsid w:val="00911DFB"/>
    <w:rsid w:val="009139D9"/>
    <w:rsid w:val="00914AD8"/>
    <w:rsid w:val="00916079"/>
    <w:rsid w:val="00917CE9"/>
    <w:rsid w:val="00920BF2"/>
    <w:rsid w:val="00922010"/>
    <w:rsid w:val="00931BD9"/>
    <w:rsid w:val="00933A3B"/>
    <w:rsid w:val="00934ED7"/>
    <w:rsid w:val="009368F3"/>
    <w:rsid w:val="00941636"/>
    <w:rsid w:val="00943742"/>
    <w:rsid w:val="00945C05"/>
    <w:rsid w:val="00946945"/>
    <w:rsid w:val="00947713"/>
    <w:rsid w:val="00950DE7"/>
    <w:rsid w:val="00952C97"/>
    <w:rsid w:val="00953920"/>
    <w:rsid w:val="00953D47"/>
    <w:rsid w:val="0095681E"/>
    <w:rsid w:val="009572D4"/>
    <w:rsid w:val="00961921"/>
    <w:rsid w:val="0096430A"/>
    <w:rsid w:val="0096554B"/>
    <w:rsid w:val="0096584A"/>
    <w:rsid w:val="00971A9D"/>
    <w:rsid w:val="00971AE9"/>
    <w:rsid w:val="00971F08"/>
    <w:rsid w:val="0097603D"/>
    <w:rsid w:val="0097692A"/>
    <w:rsid w:val="00976949"/>
    <w:rsid w:val="00980477"/>
    <w:rsid w:val="00985253"/>
    <w:rsid w:val="009853B3"/>
    <w:rsid w:val="00990630"/>
    <w:rsid w:val="00991761"/>
    <w:rsid w:val="00994DCA"/>
    <w:rsid w:val="009960EC"/>
    <w:rsid w:val="009970DD"/>
    <w:rsid w:val="009A0FBA"/>
    <w:rsid w:val="009A1601"/>
    <w:rsid w:val="009A462D"/>
    <w:rsid w:val="009A5CBA"/>
    <w:rsid w:val="009A648E"/>
    <w:rsid w:val="009B1F30"/>
    <w:rsid w:val="009B3AC2"/>
    <w:rsid w:val="009B4DF4"/>
    <w:rsid w:val="009B564E"/>
    <w:rsid w:val="009B7E87"/>
    <w:rsid w:val="009C403E"/>
    <w:rsid w:val="009D4FBA"/>
    <w:rsid w:val="009D4FF0"/>
    <w:rsid w:val="009D703C"/>
    <w:rsid w:val="009D718F"/>
    <w:rsid w:val="009D7F85"/>
    <w:rsid w:val="009E068F"/>
    <w:rsid w:val="009E14E0"/>
    <w:rsid w:val="009E244F"/>
    <w:rsid w:val="009E35DB"/>
    <w:rsid w:val="009E47A3"/>
    <w:rsid w:val="009F08F3"/>
    <w:rsid w:val="009F0F7D"/>
    <w:rsid w:val="009F344F"/>
    <w:rsid w:val="00A048A8"/>
    <w:rsid w:val="00A04F49"/>
    <w:rsid w:val="00A13E54"/>
    <w:rsid w:val="00A1419D"/>
    <w:rsid w:val="00A17F63"/>
    <w:rsid w:val="00A2193B"/>
    <w:rsid w:val="00A2351A"/>
    <w:rsid w:val="00A264A9"/>
    <w:rsid w:val="00A27785"/>
    <w:rsid w:val="00A27E28"/>
    <w:rsid w:val="00A30187"/>
    <w:rsid w:val="00A33A51"/>
    <w:rsid w:val="00A3448A"/>
    <w:rsid w:val="00A35747"/>
    <w:rsid w:val="00A36297"/>
    <w:rsid w:val="00A3793A"/>
    <w:rsid w:val="00A41E2B"/>
    <w:rsid w:val="00A45B74"/>
    <w:rsid w:val="00A508B1"/>
    <w:rsid w:val="00A5201D"/>
    <w:rsid w:val="00A52E1D"/>
    <w:rsid w:val="00A61499"/>
    <w:rsid w:val="00A61F5C"/>
    <w:rsid w:val="00A62A77"/>
    <w:rsid w:val="00A63483"/>
    <w:rsid w:val="00A64E3F"/>
    <w:rsid w:val="00A657D7"/>
    <w:rsid w:val="00A660AC"/>
    <w:rsid w:val="00A67E6C"/>
    <w:rsid w:val="00A70B66"/>
    <w:rsid w:val="00A719EF"/>
    <w:rsid w:val="00A71B99"/>
    <w:rsid w:val="00A739D0"/>
    <w:rsid w:val="00A761D4"/>
    <w:rsid w:val="00A77EC4"/>
    <w:rsid w:val="00A77EE7"/>
    <w:rsid w:val="00A80760"/>
    <w:rsid w:val="00A82ED8"/>
    <w:rsid w:val="00A92879"/>
    <w:rsid w:val="00A9442A"/>
    <w:rsid w:val="00AA016F"/>
    <w:rsid w:val="00AA1ED6"/>
    <w:rsid w:val="00AA51D6"/>
    <w:rsid w:val="00AB0BC8"/>
    <w:rsid w:val="00AB11CA"/>
    <w:rsid w:val="00AB14D9"/>
    <w:rsid w:val="00AB4AB8"/>
    <w:rsid w:val="00AB655E"/>
    <w:rsid w:val="00AB7127"/>
    <w:rsid w:val="00AC007F"/>
    <w:rsid w:val="00AC2ECD"/>
    <w:rsid w:val="00AC3119"/>
    <w:rsid w:val="00AC49FB"/>
    <w:rsid w:val="00AC5A10"/>
    <w:rsid w:val="00AC5C62"/>
    <w:rsid w:val="00AD0977"/>
    <w:rsid w:val="00AD0AA3"/>
    <w:rsid w:val="00AD3F94"/>
    <w:rsid w:val="00AD4A5A"/>
    <w:rsid w:val="00AE27AC"/>
    <w:rsid w:val="00AE40E0"/>
    <w:rsid w:val="00AE4DBA"/>
    <w:rsid w:val="00AE4F07"/>
    <w:rsid w:val="00AF1C5D"/>
    <w:rsid w:val="00AF42D7"/>
    <w:rsid w:val="00B006FE"/>
    <w:rsid w:val="00B007CB"/>
    <w:rsid w:val="00B02AA9"/>
    <w:rsid w:val="00B02FA3"/>
    <w:rsid w:val="00B0434D"/>
    <w:rsid w:val="00B05084"/>
    <w:rsid w:val="00B157F9"/>
    <w:rsid w:val="00B20256"/>
    <w:rsid w:val="00B20D09"/>
    <w:rsid w:val="00B2763F"/>
    <w:rsid w:val="00B27AAC"/>
    <w:rsid w:val="00B3004A"/>
    <w:rsid w:val="00B30929"/>
    <w:rsid w:val="00B372AA"/>
    <w:rsid w:val="00B40445"/>
    <w:rsid w:val="00B41888"/>
    <w:rsid w:val="00B45A52"/>
    <w:rsid w:val="00B46175"/>
    <w:rsid w:val="00B61373"/>
    <w:rsid w:val="00B664C7"/>
    <w:rsid w:val="00B739F6"/>
    <w:rsid w:val="00B81A6C"/>
    <w:rsid w:val="00B85DE5"/>
    <w:rsid w:val="00B90F73"/>
    <w:rsid w:val="00B93B59"/>
    <w:rsid w:val="00B9406A"/>
    <w:rsid w:val="00B9432A"/>
    <w:rsid w:val="00BA2280"/>
    <w:rsid w:val="00BA2A08"/>
    <w:rsid w:val="00BA56D2"/>
    <w:rsid w:val="00BA76E0"/>
    <w:rsid w:val="00BB045F"/>
    <w:rsid w:val="00BB2A25"/>
    <w:rsid w:val="00BB51E9"/>
    <w:rsid w:val="00BC0FDC"/>
    <w:rsid w:val="00BC3053"/>
    <w:rsid w:val="00BC4D2E"/>
    <w:rsid w:val="00BD3B86"/>
    <w:rsid w:val="00BD48AC"/>
    <w:rsid w:val="00BD5F1A"/>
    <w:rsid w:val="00BE1234"/>
    <w:rsid w:val="00BE2FA6"/>
    <w:rsid w:val="00BE333F"/>
    <w:rsid w:val="00BE7406"/>
    <w:rsid w:val="00BE7603"/>
    <w:rsid w:val="00BF3279"/>
    <w:rsid w:val="00BF532F"/>
    <w:rsid w:val="00BF6664"/>
    <w:rsid w:val="00BF74C7"/>
    <w:rsid w:val="00C00D67"/>
    <w:rsid w:val="00C015F1"/>
    <w:rsid w:val="00C01F33"/>
    <w:rsid w:val="00C02CC6"/>
    <w:rsid w:val="00C040F7"/>
    <w:rsid w:val="00C044AB"/>
    <w:rsid w:val="00C05706"/>
    <w:rsid w:val="00C07377"/>
    <w:rsid w:val="00C07A95"/>
    <w:rsid w:val="00C10478"/>
    <w:rsid w:val="00C12107"/>
    <w:rsid w:val="00C14D4B"/>
    <w:rsid w:val="00C154BB"/>
    <w:rsid w:val="00C22D59"/>
    <w:rsid w:val="00C279B5"/>
    <w:rsid w:val="00C27C45"/>
    <w:rsid w:val="00C316BD"/>
    <w:rsid w:val="00C37062"/>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34F"/>
    <w:rsid w:val="00C944AB"/>
    <w:rsid w:val="00C95B40"/>
    <w:rsid w:val="00CA1ED8"/>
    <w:rsid w:val="00CA5330"/>
    <w:rsid w:val="00CA5AAD"/>
    <w:rsid w:val="00CB1F63"/>
    <w:rsid w:val="00CB7170"/>
    <w:rsid w:val="00CB73F9"/>
    <w:rsid w:val="00CB7CA0"/>
    <w:rsid w:val="00CC040E"/>
    <w:rsid w:val="00CC111F"/>
    <w:rsid w:val="00CC2011"/>
    <w:rsid w:val="00CC3EA0"/>
    <w:rsid w:val="00CC4198"/>
    <w:rsid w:val="00CC5739"/>
    <w:rsid w:val="00CC7B45"/>
    <w:rsid w:val="00CD1188"/>
    <w:rsid w:val="00CD2ED1"/>
    <w:rsid w:val="00CD337B"/>
    <w:rsid w:val="00CD707F"/>
    <w:rsid w:val="00CE0424"/>
    <w:rsid w:val="00CE5686"/>
    <w:rsid w:val="00CE7561"/>
    <w:rsid w:val="00CF1354"/>
    <w:rsid w:val="00CF1C98"/>
    <w:rsid w:val="00CF3B1F"/>
    <w:rsid w:val="00CF3BF6"/>
    <w:rsid w:val="00CF625B"/>
    <w:rsid w:val="00CF687E"/>
    <w:rsid w:val="00CF710F"/>
    <w:rsid w:val="00D0349B"/>
    <w:rsid w:val="00D0632E"/>
    <w:rsid w:val="00D10249"/>
    <w:rsid w:val="00D10736"/>
    <w:rsid w:val="00D115C3"/>
    <w:rsid w:val="00D11897"/>
    <w:rsid w:val="00D1259C"/>
    <w:rsid w:val="00D13135"/>
    <w:rsid w:val="00D13E4E"/>
    <w:rsid w:val="00D239A7"/>
    <w:rsid w:val="00D23F47"/>
    <w:rsid w:val="00D24808"/>
    <w:rsid w:val="00D32118"/>
    <w:rsid w:val="00D36E71"/>
    <w:rsid w:val="00D37D87"/>
    <w:rsid w:val="00D40B33"/>
    <w:rsid w:val="00D4318F"/>
    <w:rsid w:val="00D433CB"/>
    <w:rsid w:val="00D43862"/>
    <w:rsid w:val="00D438BF"/>
    <w:rsid w:val="00D440F8"/>
    <w:rsid w:val="00D47BE3"/>
    <w:rsid w:val="00D546FF"/>
    <w:rsid w:val="00D55AD5"/>
    <w:rsid w:val="00D576CA"/>
    <w:rsid w:val="00D57CF8"/>
    <w:rsid w:val="00D61AF5"/>
    <w:rsid w:val="00D649FA"/>
    <w:rsid w:val="00D652B5"/>
    <w:rsid w:val="00D65E03"/>
    <w:rsid w:val="00D66155"/>
    <w:rsid w:val="00D678B1"/>
    <w:rsid w:val="00D708B0"/>
    <w:rsid w:val="00D77B1D"/>
    <w:rsid w:val="00D8021F"/>
    <w:rsid w:val="00D80383"/>
    <w:rsid w:val="00D823C6"/>
    <w:rsid w:val="00D82B16"/>
    <w:rsid w:val="00D84107"/>
    <w:rsid w:val="00D84B6F"/>
    <w:rsid w:val="00D8607F"/>
    <w:rsid w:val="00D86CA3"/>
    <w:rsid w:val="00D871CE"/>
    <w:rsid w:val="00D901FC"/>
    <w:rsid w:val="00D90904"/>
    <w:rsid w:val="00D9196D"/>
    <w:rsid w:val="00D92982"/>
    <w:rsid w:val="00D92E6C"/>
    <w:rsid w:val="00D9365A"/>
    <w:rsid w:val="00D95DF5"/>
    <w:rsid w:val="00D96F43"/>
    <w:rsid w:val="00DA305E"/>
    <w:rsid w:val="00DA348B"/>
    <w:rsid w:val="00DA5417"/>
    <w:rsid w:val="00DA56E8"/>
    <w:rsid w:val="00DB0A9F"/>
    <w:rsid w:val="00DB377D"/>
    <w:rsid w:val="00DC2D36"/>
    <w:rsid w:val="00DC53EF"/>
    <w:rsid w:val="00DD2873"/>
    <w:rsid w:val="00DE5608"/>
    <w:rsid w:val="00DE58D0"/>
    <w:rsid w:val="00DE654F"/>
    <w:rsid w:val="00DF0B6E"/>
    <w:rsid w:val="00DF15E0"/>
    <w:rsid w:val="00DF34EF"/>
    <w:rsid w:val="00DF37A0"/>
    <w:rsid w:val="00E110E7"/>
    <w:rsid w:val="00E11B20"/>
    <w:rsid w:val="00E12A99"/>
    <w:rsid w:val="00E16B2D"/>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879"/>
    <w:rsid w:val="00E53B75"/>
    <w:rsid w:val="00E54CAC"/>
    <w:rsid w:val="00E54E3B"/>
    <w:rsid w:val="00E56592"/>
    <w:rsid w:val="00E57565"/>
    <w:rsid w:val="00E627E9"/>
    <w:rsid w:val="00E63838"/>
    <w:rsid w:val="00E64434"/>
    <w:rsid w:val="00E67C51"/>
    <w:rsid w:val="00E71C22"/>
    <w:rsid w:val="00E72EFC"/>
    <w:rsid w:val="00E758EC"/>
    <w:rsid w:val="00E8234C"/>
    <w:rsid w:val="00E83AA9"/>
    <w:rsid w:val="00E85677"/>
    <w:rsid w:val="00E85928"/>
    <w:rsid w:val="00E87822"/>
    <w:rsid w:val="00E90395"/>
    <w:rsid w:val="00E90E49"/>
    <w:rsid w:val="00E917F9"/>
    <w:rsid w:val="00E9291C"/>
    <w:rsid w:val="00E93FFE"/>
    <w:rsid w:val="00E94F8A"/>
    <w:rsid w:val="00E961D5"/>
    <w:rsid w:val="00EA1A02"/>
    <w:rsid w:val="00EA7035"/>
    <w:rsid w:val="00EA7A41"/>
    <w:rsid w:val="00EB077B"/>
    <w:rsid w:val="00EB1B01"/>
    <w:rsid w:val="00EB4EA2"/>
    <w:rsid w:val="00EC226A"/>
    <w:rsid w:val="00EC27C6"/>
    <w:rsid w:val="00EC4207"/>
    <w:rsid w:val="00EC5653"/>
    <w:rsid w:val="00EC71CE"/>
    <w:rsid w:val="00ED1006"/>
    <w:rsid w:val="00EE42D7"/>
    <w:rsid w:val="00EF18FE"/>
    <w:rsid w:val="00EF3C81"/>
    <w:rsid w:val="00EF4DF7"/>
    <w:rsid w:val="00EF5787"/>
    <w:rsid w:val="00EF60D0"/>
    <w:rsid w:val="00F030D1"/>
    <w:rsid w:val="00F0528D"/>
    <w:rsid w:val="00F060F4"/>
    <w:rsid w:val="00F06C67"/>
    <w:rsid w:val="00F06DFD"/>
    <w:rsid w:val="00F071D1"/>
    <w:rsid w:val="00F07533"/>
    <w:rsid w:val="00F10629"/>
    <w:rsid w:val="00F15FA5"/>
    <w:rsid w:val="00F209B7"/>
    <w:rsid w:val="00F2376F"/>
    <w:rsid w:val="00F243D8"/>
    <w:rsid w:val="00F30828"/>
    <w:rsid w:val="00F313D6"/>
    <w:rsid w:val="00F40F0C"/>
    <w:rsid w:val="00F44C25"/>
    <w:rsid w:val="00F4766C"/>
    <w:rsid w:val="00F50548"/>
    <w:rsid w:val="00F507D1"/>
    <w:rsid w:val="00F519CE"/>
    <w:rsid w:val="00F51ADA"/>
    <w:rsid w:val="00F5296A"/>
    <w:rsid w:val="00F607C5"/>
    <w:rsid w:val="00F60DEA"/>
    <w:rsid w:val="00F6302A"/>
    <w:rsid w:val="00F64C2B"/>
    <w:rsid w:val="00F651BE"/>
    <w:rsid w:val="00F67F53"/>
    <w:rsid w:val="00F703BE"/>
    <w:rsid w:val="00F71F69"/>
    <w:rsid w:val="00F72B72"/>
    <w:rsid w:val="00F73C31"/>
    <w:rsid w:val="00F74BB9"/>
    <w:rsid w:val="00F75582"/>
    <w:rsid w:val="00F75AAF"/>
    <w:rsid w:val="00F75C94"/>
    <w:rsid w:val="00F76EFA"/>
    <w:rsid w:val="00F804BE"/>
    <w:rsid w:val="00F817CE"/>
    <w:rsid w:val="00F83D31"/>
    <w:rsid w:val="00F8456C"/>
    <w:rsid w:val="00F859D8"/>
    <w:rsid w:val="00F868F5"/>
    <w:rsid w:val="00F9056A"/>
    <w:rsid w:val="00F90F8D"/>
    <w:rsid w:val="00F92468"/>
    <w:rsid w:val="00F92782"/>
    <w:rsid w:val="00F92CB4"/>
    <w:rsid w:val="00F93AA9"/>
    <w:rsid w:val="00F96985"/>
    <w:rsid w:val="00F97838"/>
    <w:rsid w:val="00FA2BB3"/>
    <w:rsid w:val="00FB23AD"/>
    <w:rsid w:val="00FB4C80"/>
    <w:rsid w:val="00FB6A6A"/>
    <w:rsid w:val="00FC7429"/>
    <w:rsid w:val="00FD07F6"/>
    <w:rsid w:val="00FD1EC8"/>
    <w:rsid w:val="00FD47ED"/>
    <w:rsid w:val="00FD524D"/>
    <w:rsid w:val="00FD74DB"/>
    <w:rsid w:val="00FD7660"/>
    <w:rsid w:val="00FE0655"/>
    <w:rsid w:val="00FE2365"/>
    <w:rsid w:val="00FE4C7B"/>
    <w:rsid w:val="00FE7336"/>
    <w:rsid w:val="00FE787C"/>
    <w:rsid w:val="00FF373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57FF0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7E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316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316B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316BD"/>
    <w:pPr>
      <w:numPr>
        <w:ilvl w:val="2"/>
      </w:numPr>
      <w:spacing w:before="120"/>
      <w:outlineLvl w:val="2"/>
    </w:pPr>
    <w:rPr>
      <w:sz w:val="28"/>
      <w:szCs w:val="28"/>
    </w:rPr>
  </w:style>
  <w:style w:type="paragraph" w:styleId="Heading4">
    <w:name w:val="heading 4"/>
    <w:basedOn w:val="Heading3"/>
    <w:next w:val="Normal"/>
    <w:qFormat/>
    <w:rsid w:val="00C316BD"/>
    <w:pPr>
      <w:numPr>
        <w:ilvl w:val="3"/>
      </w:numPr>
      <w:outlineLvl w:val="3"/>
    </w:pPr>
    <w:rPr>
      <w:sz w:val="24"/>
      <w:szCs w:val="24"/>
    </w:rPr>
  </w:style>
  <w:style w:type="paragraph" w:styleId="Heading5">
    <w:name w:val="heading 5"/>
    <w:basedOn w:val="Heading4"/>
    <w:next w:val="Normal"/>
    <w:qFormat/>
    <w:rsid w:val="00C316BD"/>
    <w:pPr>
      <w:numPr>
        <w:ilvl w:val="4"/>
      </w:numPr>
      <w:outlineLvl w:val="4"/>
    </w:pPr>
    <w:rPr>
      <w:sz w:val="22"/>
      <w:szCs w:val="22"/>
    </w:rPr>
  </w:style>
  <w:style w:type="paragraph" w:styleId="Heading6">
    <w:name w:val="heading 6"/>
    <w:basedOn w:val="Normal"/>
    <w:next w:val="Normal"/>
    <w:qFormat/>
    <w:rsid w:val="00C316BD"/>
    <w:pPr>
      <w:keepNext/>
      <w:keepLines/>
      <w:numPr>
        <w:ilvl w:val="5"/>
        <w:numId w:val="1"/>
      </w:numPr>
      <w:spacing w:before="120"/>
      <w:outlineLvl w:val="5"/>
    </w:pPr>
    <w:rPr>
      <w:rFonts w:cs="Arial"/>
    </w:rPr>
  </w:style>
  <w:style w:type="paragraph" w:styleId="Heading7">
    <w:name w:val="heading 7"/>
    <w:basedOn w:val="Normal"/>
    <w:next w:val="Normal"/>
    <w:qFormat/>
    <w:rsid w:val="00C316BD"/>
    <w:pPr>
      <w:keepNext/>
      <w:keepLines/>
      <w:numPr>
        <w:ilvl w:val="6"/>
        <w:numId w:val="1"/>
      </w:numPr>
      <w:spacing w:before="120"/>
      <w:outlineLvl w:val="6"/>
    </w:pPr>
    <w:rPr>
      <w:rFonts w:cs="Arial"/>
    </w:rPr>
  </w:style>
  <w:style w:type="paragraph" w:styleId="Heading8">
    <w:name w:val="heading 8"/>
    <w:basedOn w:val="Heading7"/>
    <w:next w:val="Normal"/>
    <w:qFormat/>
    <w:rsid w:val="00C316BD"/>
    <w:pPr>
      <w:numPr>
        <w:ilvl w:val="7"/>
      </w:numPr>
      <w:outlineLvl w:val="7"/>
    </w:pPr>
  </w:style>
  <w:style w:type="paragraph" w:styleId="Heading9">
    <w:name w:val="heading 9"/>
    <w:basedOn w:val="Heading8"/>
    <w:next w:val="Normal"/>
    <w:qFormat/>
    <w:rsid w:val="00C316BD"/>
    <w:pPr>
      <w:numPr>
        <w:ilvl w:val="8"/>
      </w:numPr>
      <w:outlineLvl w:val="8"/>
    </w:pPr>
  </w:style>
  <w:style w:type="character" w:default="1" w:styleId="DefaultParagraphFont">
    <w:name w:val="Default Paragraph Font"/>
    <w:semiHidden/>
    <w:rsid w:val="00C316BD"/>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C316BD"/>
  </w:style>
  <w:style w:type="paragraph" w:styleId="TOC8">
    <w:name w:val="toc 8"/>
    <w:basedOn w:val="TOC1"/>
    <w:semiHidden/>
    <w:rsid w:val="00C316BD"/>
    <w:pPr>
      <w:spacing w:before="180"/>
      <w:ind w:left="2693" w:hanging="2693"/>
    </w:pPr>
    <w:rPr>
      <w:b w:val="0"/>
      <w:bCs/>
    </w:rPr>
  </w:style>
  <w:style w:type="paragraph" w:styleId="TOC1">
    <w:name w:val="toc 1"/>
    <w:aliases w:val="Observation TOC2"/>
    <w:uiPriority w:val="39"/>
    <w:rsid w:val="00C316B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316BD"/>
    <w:pPr>
      <w:keepNext/>
      <w:keepLines/>
      <w:spacing w:before="180"/>
      <w:jc w:val="center"/>
    </w:pPr>
  </w:style>
  <w:style w:type="paragraph" w:styleId="Caption">
    <w:name w:val="caption"/>
    <w:basedOn w:val="Normal"/>
    <w:next w:val="Normal"/>
    <w:qFormat/>
    <w:rsid w:val="00C316BD"/>
    <w:pPr>
      <w:spacing w:after="240"/>
      <w:jc w:val="center"/>
    </w:pPr>
    <w:rPr>
      <w:b/>
      <w:bCs/>
    </w:rPr>
  </w:style>
  <w:style w:type="paragraph" w:styleId="TOC5">
    <w:name w:val="toc 5"/>
    <w:aliases w:val="Observation TOC"/>
    <w:basedOn w:val="TOC4"/>
    <w:semiHidden/>
    <w:rsid w:val="00C316BD"/>
    <w:pPr>
      <w:tabs>
        <w:tab w:val="right" w:pos="1701"/>
      </w:tabs>
      <w:ind w:left="1701" w:hanging="1701"/>
    </w:pPr>
  </w:style>
  <w:style w:type="paragraph" w:styleId="TOC4">
    <w:name w:val="toc 4"/>
    <w:basedOn w:val="TOC3"/>
    <w:semiHidden/>
    <w:rsid w:val="00C316BD"/>
    <w:pPr>
      <w:ind w:left="1418" w:hanging="1418"/>
    </w:pPr>
  </w:style>
  <w:style w:type="paragraph" w:styleId="TOC3">
    <w:name w:val="toc 3"/>
    <w:basedOn w:val="TOC2"/>
    <w:semiHidden/>
    <w:rsid w:val="00C316BD"/>
    <w:pPr>
      <w:ind w:left="1134" w:hanging="1134"/>
    </w:pPr>
  </w:style>
  <w:style w:type="paragraph" w:styleId="TOC2">
    <w:name w:val="toc 2"/>
    <w:basedOn w:val="TOC1"/>
    <w:semiHidden/>
    <w:rsid w:val="00C316BD"/>
    <w:pPr>
      <w:keepNext w:val="0"/>
      <w:spacing w:before="0"/>
      <w:ind w:left="851" w:hanging="851"/>
    </w:pPr>
    <w:rPr>
      <w:szCs w:val="20"/>
    </w:rPr>
  </w:style>
  <w:style w:type="paragraph" w:styleId="Index2">
    <w:name w:val="index 2"/>
    <w:basedOn w:val="Index1"/>
    <w:semiHidden/>
    <w:rsid w:val="00C316BD"/>
    <w:pPr>
      <w:ind w:left="284"/>
    </w:pPr>
  </w:style>
  <w:style w:type="paragraph" w:styleId="Index1">
    <w:name w:val="index 1"/>
    <w:basedOn w:val="Normal"/>
    <w:semiHidden/>
    <w:rsid w:val="00C316BD"/>
    <w:pPr>
      <w:keepLines/>
      <w:spacing w:after="0"/>
    </w:pPr>
  </w:style>
  <w:style w:type="paragraph" w:styleId="DocumentMap">
    <w:name w:val="Document Map"/>
    <w:basedOn w:val="Normal"/>
    <w:semiHidden/>
    <w:rsid w:val="00C316BD"/>
    <w:pPr>
      <w:shd w:val="clear" w:color="auto" w:fill="000080"/>
    </w:pPr>
    <w:rPr>
      <w:rFonts w:ascii="Tahoma" w:hAnsi="Tahoma" w:cs="Tahoma"/>
    </w:rPr>
  </w:style>
  <w:style w:type="paragraph" w:styleId="ListNumber2">
    <w:name w:val="List Number 2"/>
    <w:basedOn w:val="ListNumber"/>
    <w:rsid w:val="00C316BD"/>
    <w:pPr>
      <w:ind w:left="851"/>
    </w:pPr>
  </w:style>
  <w:style w:type="paragraph" w:styleId="ListNumber">
    <w:name w:val="List Number"/>
    <w:basedOn w:val="List"/>
    <w:rsid w:val="00C316BD"/>
  </w:style>
  <w:style w:type="paragraph" w:styleId="List">
    <w:name w:val="List"/>
    <w:basedOn w:val="Normal"/>
    <w:rsid w:val="00C316BD"/>
    <w:pPr>
      <w:ind w:left="568" w:hanging="284"/>
    </w:pPr>
  </w:style>
  <w:style w:type="paragraph" w:styleId="Header">
    <w:name w:val="header"/>
    <w:rsid w:val="00C316B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316BD"/>
    <w:rPr>
      <w:b/>
      <w:bCs/>
      <w:position w:val="6"/>
      <w:sz w:val="16"/>
      <w:szCs w:val="16"/>
    </w:rPr>
  </w:style>
  <w:style w:type="paragraph" w:styleId="FootnoteText">
    <w:name w:val="footnote text"/>
    <w:basedOn w:val="Normal"/>
    <w:semiHidden/>
    <w:rsid w:val="00C316BD"/>
    <w:pPr>
      <w:keepLines/>
      <w:spacing w:after="0"/>
      <w:ind w:left="454" w:hanging="454"/>
    </w:pPr>
    <w:rPr>
      <w:sz w:val="16"/>
      <w:szCs w:val="16"/>
    </w:rPr>
  </w:style>
  <w:style w:type="paragraph" w:customStyle="1" w:styleId="3GPPHeader">
    <w:name w:val="3GPP_Header"/>
    <w:basedOn w:val="Normal"/>
    <w:rsid w:val="00C316BD"/>
    <w:pPr>
      <w:tabs>
        <w:tab w:val="left" w:pos="1701"/>
        <w:tab w:val="right" w:pos="9639"/>
      </w:tabs>
      <w:spacing w:after="240"/>
    </w:pPr>
    <w:rPr>
      <w:b/>
      <w:sz w:val="24"/>
    </w:rPr>
  </w:style>
  <w:style w:type="paragraph" w:styleId="TOC9">
    <w:name w:val="toc 9"/>
    <w:basedOn w:val="TOC8"/>
    <w:semiHidden/>
    <w:rsid w:val="00C316BD"/>
    <w:pPr>
      <w:ind w:left="1418" w:hanging="1418"/>
    </w:pPr>
  </w:style>
  <w:style w:type="paragraph" w:styleId="TOC6">
    <w:name w:val="toc 6"/>
    <w:basedOn w:val="TOC5"/>
    <w:next w:val="Normal"/>
    <w:semiHidden/>
    <w:rsid w:val="00C316BD"/>
    <w:pPr>
      <w:ind w:left="1985" w:hanging="1985"/>
    </w:pPr>
  </w:style>
  <w:style w:type="paragraph" w:styleId="TOC7">
    <w:name w:val="toc 7"/>
    <w:basedOn w:val="TOC6"/>
    <w:next w:val="Normal"/>
    <w:semiHidden/>
    <w:rsid w:val="00C316BD"/>
    <w:pPr>
      <w:ind w:left="2268" w:hanging="2268"/>
    </w:pPr>
  </w:style>
  <w:style w:type="paragraph" w:styleId="ListBullet2">
    <w:name w:val="List Bullet 2"/>
    <w:basedOn w:val="ListBullet"/>
    <w:rsid w:val="00C316BD"/>
    <w:pPr>
      <w:numPr>
        <w:numId w:val="6"/>
      </w:numPr>
    </w:pPr>
  </w:style>
  <w:style w:type="paragraph" w:styleId="ListBullet">
    <w:name w:val="List Bullet"/>
    <w:basedOn w:val="BodyText"/>
    <w:rsid w:val="00C316BD"/>
    <w:pPr>
      <w:numPr>
        <w:numId w:val="5"/>
      </w:numPr>
    </w:pPr>
  </w:style>
  <w:style w:type="paragraph" w:styleId="ListBullet3">
    <w:name w:val="List Bullet 3"/>
    <w:basedOn w:val="ListBullet2"/>
    <w:rsid w:val="00C316BD"/>
    <w:pPr>
      <w:numPr>
        <w:numId w:val="7"/>
      </w:numPr>
    </w:pPr>
  </w:style>
  <w:style w:type="paragraph" w:customStyle="1" w:styleId="EQ">
    <w:name w:val="EQ"/>
    <w:basedOn w:val="Normal"/>
    <w:next w:val="Normal"/>
    <w:rsid w:val="00C316BD"/>
    <w:pPr>
      <w:keepLines/>
      <w:tabs>
        <w:tab w:val="center" w:pos="4536"/>
        <w:tab w:val="right" w:pos="9072"/>
      </w:tabs>
      <w:spacing w:after="180"/>
      <w:jc w:val="left"/>
    </w:pPr>
    <w:rPr>
      <w:noProof/>
      <w:lang w:eastAsia="en-US"/>
    </w:rPr>
  </w:style>
  <w:style w:type="paragraph" w:styleId="List2">
    <w:name w:val="List 2"/>
    <w:basedOn w:val="List"/>
    <w:rsid w:val="00C316BD"/>
    <w:pPr>
      <w:ind w:left="851"/>
    </w:pPr>
  </w:style>
  <w:style w:type="paragraph" w:styleId="List3">
    <w:name w:val="List 3"/>
    <w:basedOn w:val="List2"/>
    <w:rsid w:val="00C316BD"/>
    <w:pPr>
      <w:ind w:left="1135"/>
    </w:pPr>
  </w:style>
  <w:style w:type="paragraph" w:styleId="List4">
    <w:name w:val="List 4"/>
    <w:basedOn w:val="List3"/>
    <w:rsid w:val="00C316BD"/>
    <w:pPr>
      <w:ind w:left="1418"/>
    </w:pPr>
  </w:style>
  <w:style w:type="paragraph" w:styleId="List5">
    <w:name w:val="List 5"/>
    <w:basedOn w:val="List4"/>
    <w:rsid w:val="00C316BD"/>
    <w:pPr>
      <w:ind w:left="1702"/>
    </w:pPr>
  </w:style>
  <w:style w:type="paragraph" w:customStyle="1" w:styleId="EditorsNote">
    <w:name w:val="Editor's Note"/>
    <w:basedOn w:val="Normal"/>
    <w:rsid w:val="00C316BD"/>
    <w:pPr>
      <w:keepLines/>
      <w:spacing w:after="180"/>
      <w:ind w:left="1135" w:hanging="851"/>
      <w:jc w:val="left"/>
    </w:pPr>
    <w:rPr>
      <w:color w:val="FF0000"/>
      <w:lang w:eastAsia="en-US"/>
    </w:rPr>
  </w:style>
  <w:style w:type="paragraph" w:styleId="ListBullet4">
    <w:name w:val="List Bullet 4"/>
    <w:basedOn w:val="ListBullet3"/>
    <w:rsid w:val="00C316BD"/>
    <w:pPr>
      <w:numPr>
        <w:numId w:val="8"/>
      </w:numPr>
    </w:pPr>
  </w:style>
  <w:style w:type="paragraph" w:styleId="ListBullet5">
    <w:name w:val="List Bullet 5"/>
    <w:basedOn w:val="ListBullet4"/>
    <w:rsid w:val="00C316BD"/>
    <w:pPr>
      <w:numPr>
        <w:numId w:val="4"/>
      </w:numPr>
    </w:pPr>
  </w:style>
  <w:style w:type="paragraph" w:styleId="Footer">
    <w:name w:val="footer"/>
    <w:basedOn w:val="Header"/>
    <w:semiHidden/>
    <w:rsid w:val="00C316BD"/>
    <w:pPr>
      <w:jc w:val="center"/>
    </w:pPr>
    <w:rPr>
      <w:i/>
      <w:iCs/>
    </w:rPr>
  </w:style>
  <w:style w:type="paragraph" w:customStyle="1" w:styleId="Reference">
    <w:name w:val="Reference"/>
    <w:basedOn w:val="Normal"/>
    <w:rsid w:val="00C316BD"/>
    <w:pPr>
      <w:numPr>
        <w:numId w:val="2"/>
      </w:numPr>
    </w:pPr>
  </w:style>
  <w:style w:type="paragraph" w:styleId="BalloonText">
    <w:name w:val="Balloon Text"/>
    <w:basedOn w:val="Normal"/>
    <w:semiHidden/>
    <w:rsid w:val="00C316BD"/>
    <w:rPr>
      <w:rFonts w:ascii="Tahoma" w:hAnsi="Tahoma" w:cs="Tahoma"/>
      <w:sz w:val="16"/>
      <w:szCs w:val="16"/>
    </w:rPr>
  </w:style>
  <w:style w:type="character" w:styleId="PageNumber">
    <w:name w:val="page number"/>
    <w:basedOn w:val="DefaultParagraphFont"/>
    <w:semiHidden/>
    <w:rsid w:val="00C316BD"/>
  </w:style>
  <w:style w:type="paragraph" w:styleId="BodyText">
    <w:name w:val="Body Text"/>
    <w:basedOn w:val="Normal"/>
    <w:link w:val="BodyTextChar"/>
    <w:rsid w:val="00C316BD"/>
  </w:style>
  <w:style w:type="character" w:styleId="Hyperlink">
    <w:name w:val="Hyperlink"/>
    <w:uiPriority w:val="99"/>
    <w:rsid w:val="00C316BD"/>
    <w:rPr>
      <w:color w:val="0000FF"/>
      <w:u w:val="single"/>
      <w:lang w:val="en-GB"/>
    </w:rPr>
  </w:style>
  <w:style w:type="character" w:styleId="FollowedHyperlink">
    <w:name w:val="FollowedHyperlink"/>
    <w:semiHidden/>
    <w:rsid w:val="00C316BD"/>
    <w:rPr>
      <w:color w:val="FF0000"/>
      <w:u w:val="single"/>
    </w:rPr>
  </w:style>
  <w:style w:type="character" w:styleId="CommentReference">
    <w:name w:val="annotation reference"/>
    <w:semiHidden/>
    <w:rsid w:val="00C316BD"/>
    <w:rPr>
      <w:sz w:val="16"/>
      <w:szCs w:val="16"/>
    </w:rPr>
  </w:style>
  <w:style w:type="paragraph" w:styleId="CommentText">
    <w:name w:val="annotation text"/>
    <w:basedOn w:val="Normal"/>
    <w:semiHidden/>
    <w:rsid w:val="00C316BD"/>
  </w:style>
  <w:style w:type="paragraph" w:styleId="CommentSubject">
    <w:name w:val="annotation subject"/>
    <w:basedOn w:val="CommentText"/>
    <w:next w:val="CommentText"/>
    <w:semiHidden/>
    <w:rsid w:val="00C316BD"/>
    <w:rPr>
      <w:b/>
      <w:bCs/>
    </w:rPr>
  </w:style>
  <w:style w:type="character" w:customStyle="1" w:styleId="Heading1Char">
    <w:name w:val="Heading 1 Char"/>
    <w:link w:val="Heading1"/>
    <w:rsid w:val="00C316BD"/>
    <w:rPr>
      <w:rFonts w:ascii="Arial" w:hAnsi="Arial" w:cs="Arial"/>
      <w:sz w:val="36"/>
      <w:szCs w:val="36"/>
      <w:lang w:val="en-GB"/>
    </w:rPr>
  </w:style>
  <w:style w:type="paragraph" w:customStyle="1" w:styleId="B1">
    <w:name w:val="B1"/>
    <w:basedOn w:val="List"/>
    <w:rsid w:val="00C316BD"/>
    <w:pPr>
      <w:spacing w:after="180"/>
      <w:jc w:val="left"/>
    </w:pPr>
    <w:rPr>
      <w:lang w:eastAsia="en-US"/>
    </w:rPr>
  </w:style>
  <w:style w:type="paragraph" w:customStyle="1" w:styleId="B2">
    <w:name w:val="B2"/>
    <w:basedOn w:val="List2"/>
    <w:rsid w:val="00C316BD"/>
    <w:pPr>
      <w:spacing w:after="180"/>
      <w:jc w:val="left"/>
    </w:pPr>
    <w:rPr>
      <w:lang w:eastAsia="en-US"/>
    </w:rPr>
  </w:style>
  <w:style w:type="paragraph" w:customStyle="1" w:styleId="B3">
    <w:name w:val="B3"/>
    <w:basedOn w:val="List3"/>
    <w:rsid w:val="00C316BD"/>
    <w:pPr>
      <w:spacing w:after="180"/>
      <w:jc w:val="left"/>
    </w:pPr>
    <w:rPr>
      <w:lang w:eastAsia="en-US"/>
    </w:rPr>
  </w:style>
  <w:style w:type="paragraph" w:customStyle="1" w:styleId="B4">
    <w:name w:val="B4"/>
    <w:basedOn w:val="List4"/>
    <w:rsid w:val="00C316BD"/>
    <w:pPr>
      <w:spacing w:after="180"/>
      <w:jc w:val="left"/>
    </w:pPr>
    <w:rPr>
      <w:lang w:eastAsia="en-US"/>
    </w:rPr>
  </w:style>
  <w:style w:type="paragraph" w:customStyle="1" w:styleId="Proposal">
    <w:name w:val="Proposal"/>
    <w:basedOn w:val="Normal"/>
    <w:rsid w:val="00C316BD"/>
    <w:pPr>
      <w:numPr>
        <w:numId w:val="43"/>
      </w:numPr>
      <w:tabs>
        <w:tab w:val="left" w:pos="1701"/>
      </w:tabs>
    </w:pPr>
    <w:rPr>
      <w:b/>
      <w:bCs/>
    </w:rPr>
  </w:style>
  <w:style w:type="character" w:customStyle="1" w:styleId="BodyTextChar">
    <w:name w:val="Body Text Char"/>
    <w:link w:val="BodyText"/>
    <w:rsid w:val="00C316BD"/>
    <w:rPr>
      <w:rFonts w:ascii="Arial" w:hAnsi="Arial"/>
      <w:lang w:val="en-GB"/>
    </w:rPr>
  </w:style>
  <w:style w:type="paragraph" w:customStyle="1" w:styleId="B5">
    <w:name w:val="B5"/>
    <w:basedOn w:val="List5"/>
    <w:rsid w:val="00C316BD"/>
    <w:pPr>
      <w:spacing w:after="180"/>
      <w:jc w:val="left"/>
    </w:pPr>
    <w:rPr>
      <w:lang w:eastAsia="en-US"/>
    </w:rPr>
  </w:style>
  <w:style w:type="paragraph" w:customStyle="1" w:styleId="EX">
    <w:name w:val="EX"/>
    <w:basedOn w:val="Normal"/>
    <w:rsid w:val="00C316BD"/>
    <w:pPr>
      <w:keepLines/>
      <w:spacing w:after="180"/>
      <w:ind w:left="1702" w:hanging="1418"/>
      <w:jc w:val="left"/>
    </w:pPr>
    <w:rPr>
      <w:lang w:eastAsia="en-US"/>
    </w:rPr>
  </w:style>
  <w:style w:type="paragraph" w:customStyle="1" w:styleId="EW">
    <w:name w:val="EW"/>
    <w:basedOn w:val="EX"/>
    <w:rsid w:val="00C316BD"/>
    <w:pPr>
      <w:spacing w:after="0"/>
    </w:pPr>
  </w:style>
  <w:style w:type="paragraph" w:customStyle="1" w:styleId="TAL">
    <w:name w:val="TAL"/>
    <w:basedOn w:val="Normal"/>
    <w:link w:val="TALCar"/>
    <w:rsid w:val="00C316BD"/>
    <w:pPr>
      <w:keepNext/>
      <w:keepLines/>
      <w:spacing w:after="0"/>
      <w:jc w:val="left"/>
    </w:pPr>
    <w:rPr>
      <w:sz w:val="18"/>
      <w:lang w:eastAsia="en-US"/>
    </w:rPr>
  </w:style>
  <w:style w:type="paragraph" w:customStyle="1" w:styleId="TAC">
    <w:name w:val="TAC"/>
    <w:basedOn w:val="TAL"/>
    <w:rsid w:val="00C316BD"/>
    <w:pPr>
      <w:jc w:val="center"/>
    </w:pPr>
  </w:style>
  <w:style w:type="paragraph" w:customStyle="1" w:styleId="TAH">
    <w:name w:val="TAH"/>
    <w:basedOn w:val="TAC"/>
    <w:rsid w:val="00C316BD"/>
    <w:rPr>
      <w:b/>
    </w:rPr>
  </w:style>
  <w:style w:type="paragraph" w:customStyle="1" w:styleId="TAN">
    <w:name w:val="TAN"/>
    <w:basedOn w:val="TAL"/>
    <w:rsid w:val="00C316BD"/>
    <w:pPr>
      <w:ind w:left="851" w:hanging="851"/>
    </w:pPr>
  </w:style>
  <w:style w:type="paragraph" w:customStyle="1" w:styleId="TAR">
    <w:name w:val="TAR"/>
    <w:basedOn w:val="TAL"/>
    <w:rsid w:val="00C316BD"/>
    <w:pPr>
      <w:jc w:val="right"/>
    </w:pPr>
  </w:style>
  <w:style w:type="paragraph" w:customStyle="1" w:styleId="TH">
    <w:name w:val="TH"/>
    <w:basedOn w:val="Normal"/>
    <w:link w:val="THChar"/>
    <w:rsid w:val="00C316BD"/>
    <w:pPr>
      <w:keepNext/>
      <w:keepLines/>
      <w:spacing w:before="60" w:after="180"/>
      <w:jc w:val="center"/>
    </w:pPr>
    <w:rPr>
      <w:b/>
      <w:lang w:eastAsia="en-US"/>
    </w:rPr>
  </w:style>
  <w:style w:type="paragraph" w:customStyle="1" w:styleId="TF">
    <w:name w:val="TF"/>
    <w:basedOn w:val="TH"/>
    <w:rsid w:val="00C316BD"/>
    <w:pPr>
      <w:keepNext w:val="0"/>
      <w:spacing w:before="0" w:after="240"/>
    </w:pPr>
  </w:style>
  <w:style w:type="paragraph" w:customStyle="1" w:styleId="TT">
    <w:name w:val="TT"/>
    <w:basedOn w:val="Heading1"/>
    <w:next w:val="Normal"/>
    <w:rsid w:val="00C316BD"/>
    <w:pPr>
      <w:numPr>
        <w:numId w:val="0"/>
      </w:numPr>
      <w:ind w:left="1134" w:hanging="1134"/>
      <w:outlineLvl w:val="9"/>
    </w:pPr>
    <w:rPr>
      <w:rFonts w:cs="Times New Roman"/>
      <w:szCs w:val="20"/>
      <w:lang w:eastAsia="en-US"/>
    </w:rPr>
  </w:style>
  <w:style w:type="paragraph" w:customStyle="1" w:styleId="ZA">
    <w:name w:val="ZA"/>
    <w:rsid w:val="00C316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6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6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316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316BD"/>
  </w:style>
  <w:style w:type="paragraph" w:customStyle="1" w:styleId="ZH">
    <w:name w:val="ZH"/>
    <w:rsid w:val="00C316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316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316BD"/>
    <w:pPr>
      <w:framePr w:hRule="auto" w:wrap="notBeside" w:y="852"/>
    </w:pPr>
    <w:rPr>
      <w:i w:val="0"/>
      <w:sz w:val="40"/>
    </w:rPr>
  </w:style>
  <w:style w:type="paragraph" w:customStyle="1" w:styleId="ZU">
    <w:name w:val="ZU"/>
    <w:rsid w:val="00C316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6BD"/>
    <w:pPr>
      <w:framePr w:wrap="notBeside" w:y="16161"/>
    </w:pPr>
  </w:style>
  <w:style w:type="paragraph" w:customStyle="1" w:styleId="FP">
    <w:name w:val="FP"/>
    <w:basedOn w:val="Normal"/>
    <w:rsid w:val="00C316BD"/>
    <w:pPr>
      <w:spacing w:after="0"/>
      <w:jc w:val="left"/>
    </w:pPr>
    <w:rPr>
      <w:lang w:eastAsia="en-US"/>
    </w:rPr>
  </w:style>
  <w:style w:type="paragraph" w:customStyle="1" w:styleId="Observation">
    <w:name w:val="Observation"/>
    <w:basedOn w:val="Proposal"/>
    <w:qFormat/>
    <w:rsid w:val="00C316BD"/>
    <w:pPr>
      <w:numPr>
        <w:numId w:val="13"/>
      </w:numPr>
      <w:ind w:left="1701" w:hanging="1701"/>
    </w:pPr>
  </w:style>
  <w:style w:type="paragraph" w:styleId="TableofFigures">
    <w:name w:val="table of figures"/>
    <w:basedOn w:val="Normal"/>
    <w:next w:val="Normal"/>
    <w:uiPriority w:val="99"/>
    <w:rsid w:val="00C316BD"/>
    <w:pPr>
      <w:ind w:left="1418" w:hanging="1418"/>
      <w:jc w:val="left"/>
    </w:pPr>
    <w:rPr>
      <w:b/>
    </w:rPr>
  </w:style>
  <w:style w:type="paragraph" w:styleId="BlockText">
    <w:name w:val="Block Text"/>
    <w:basedOn w:val="Normal"/>
    <w:rsid w:val="005E241A"/>
    <w:pPr>
      <w:ind w:left="1440" w:right="1440"/>
    </w:pPr>
  </w:style>
  <w:style w:type="character" w:customStyle="1" w:styleId="specpage-required-for">
    <w:name w:val="specpage-required-for"/>
    <w:rsid w:val="007E315C"/>
  </w:style>
  <w:style w:type="paragraph" w:customStyle="1" w:styleId="SimpleHeading">
    <w:name w:val="SimpleHeading"/>
    <w:basedOn w:val="Normal"/>
    <w:next w:val="Normal"/>
    <w:qFormat/>
    <w:rsid w:val="00A5201D"/>
    <w:pPr>
      <w:keepNext/>
    </w:pPr>
    <w:rPr>
      <w:b/>
      <w:lang w:val="en-US"/>
    </w:rPr>
  </w:style>
  <w:style w:type="paragraph" w:styleId="MediumList2-Accent2">
    <w:name w:val="Medium List 2 Accent 2"/>
    <w:hidden/>
    <w:uiPriority w:val="99"/>
    <w:semiHidden/>
    <w:rsid w:val="00C316BD"/>
    <w:rPr>
      <w:rFonts w:ascii="Arial" w:hAnsi="Arial"/>
      <w:lang w:val="en-GB" w:eastAsia="zh-CN"/>
    </w:rPr>
  </w:style>
  <w:style w:type="character" w:customStyle="1" w:styleId="THChar">
    <w:name w:val="TH Char"/>
    <w:link w:val="TH"/>
    <w:rsid w:val="00971AE9"/>
    <w:rPr>
      <w:rFonts w:ascii="Arial" w:hAnsi="Arial"/>
      <w:b/>
      <w:lang w:val="en-GB"/>
    </w:rPr>
  </w:style>
  <w:style w:type="character" w:customStyle="1" w:styleId="TALCar">
    <w:name w:val="TAL Car"/>
    <w:link w:val="TAL"/>
    <w:rsid w:val="00971AE9"/>
    <w:rPr>
      <w:rFonts w:ascii="Arial" w:hAnsi="Arial"/>
      <w:sz w:val="18"/>
      <w:lang w:val="en-GB"/>
    </w:rPr>
  </w:style>
  <w:style w:type="table" w:styleId="TableGrid">
    <w:name w:val="Table Grid"/>
    <w:basedOn w:val="TableNormal"/>
    <w:rsid w:val="00622C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7E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316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316B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316BD"/>
    <w:pPr>
      <w:numPr>
        <w:ilvl w:val="2"/>
      </w:numPr>
      <w:spacing w:before="120"/>
      <w:outlineLvl w:val="2"/>
    </w:pPr>
    <w:rPr>
      <w:sz w:val="28"/>
      <w:szCs w:val="28"/>
    </w:rPr>
  </w:style>
  <w:style w:type="paragraph" w:styleId="Heading4">
    <w:name w:val="heading 4"/>
    <w:basedOn w:val="Heading3"/>
    <w:next w:val="Normal"/>
    <w:qFormat/>
    <w:rsid w:val="00C316BD"/>
    <w:pPr>
      <w:numPr>
        <w:ilvl w:val="3"/>
      </w:numPr>
      <w:outlineLvl w:val="3"/>
    </w:pPr>
    <w:rPr>
      <w:sz w:val="24"/>
      <w:szCs w:val="24"/>
    </w:rPr>
  </w:style>
  <w:style w:type="paragraph" w:styleId="Heading5">
    <w:name w:val="heading 5"/>
    <w:basedOn w:val="Heading4"/>
    <w:next w:val="Normal"/>
    <w:qFormat/>
    <w:rsid w:val="00C316BD"/>
    <w:pPr>
      <w:numPr>
        <w:ilvl w:val="4"/>
      </w:numPr>
      <w:outlineLvl w:val="4"/>
    </w:pPr>
    <w:rPr>
      <w:sz w:val="22"/>
      <w:szCs w:val="22"/>
    </w:rPr>
  </w:style>
  <w:style w:type="paragraph" w:styleId="Heading6">
    <w:name w:val="heading 6"/>
    <w:basedOn w:val="Normal"/>
    <w:next w:val="Normal"/>
    <w:qFormat/>
    <w:rsid w:val="00C316BD"/>
    <w:pPr>
      <w:keepNext/>
      <w:keepLines/>
      <w:numPr>
        <w:ilvl w:val="5"/>
        <w:numId w:val="1"/>
      </w:numPr>
      <w:spacing w:before="120"/>
      <w:outlineLvl w:val="5"/>
    </w:pPr>
    <w:rPr>
      <w:rFonts w:cs="Arial"/>
    </w:rPr>
  </w:style>
  <w:style w:type="paragraph" w:styleId="Heading7">
    <w:name w:val="heading 7"/>
    <w:basedOn w:val="Normal"/>
    <w:next w:val="Normal"/>
    <w:qFormat/>
    <w:rsid w:val="00C316BD"/>
    <w:pPr>
      <w:keepNext/>
      <w:keepLines/>
      <w:numPr>
        <w:ilvl w:val="6"/>
        <w:numId w:val="1"/>
      </w:numPr>
      <w:spacing w:before="120"/>
      <w:outlineLvl w:val="6"/>
    </w:pPr>
    <w:rPr>
      <w:rFonts w:cs="Arial"/>
    </w:rPr>
  </w:style>
  <w:style w:type="paragraph" w:styleId="Heading8">
    <w:name w:val="heading 8"/>
    <w:basedOn w:val="Heading7"/>
    <w:next w:val="Normal"/>
    <w:qFormat/>
    <w:rsid w:val="00C316BD"/>
    <w:pPr>
      <w:numPr>
        <w:ilvl w:val="7"/>
      </w:numPr>
      <w:outlineLvl w:val="7"/>
    </w:pPr>
  </w:style>
  <w:style w:type="paragraph" w:styleId="Heading9">
    <w:name w:val="heading 9"/>
    <w:basedOn w:val="Heading8"/>
    <w:next w:val="Normal"/>
    <w:qFormat/>
    <w:rsid w:val="00C316BD"/>
    <w:pPr>
      <w:numPr>
        <w:ilvl w:val="8"/>
      </w:numPr>
      <w:outlineLvl w:val="8"/>
    </w:pPr>
  </w:style>
  <w:style w:type="character" w:default="1" w:styleId="DefaultParagraphFont">
    <w:name w:val="Default Paragraph Font"/>
    <w:semiHidden/>
    <w:rsid w:val="00C316BD"/>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C316BD"/>
  </w:style>
  <w:style w:type="paragraph" w:styleId="TOC8">
    <w:name w:val="toc 8"/>
    <w:basedOn w:val="TOC1"/>
    <w:semiHidden/>
    <w:rsid w:val="00C316BD"/>
    <w:pPr>
      <w:spacing w:before="180"/>
      <w:ind w:left="2693" w:hanging="2693"/>
    </w:pPr>
    <w:rPr>
      <w:b w:val="0"/>
      <w:bCs/>
    </w:rPr>
  </w:style>
  <w:style w:type="paragraph" w:styleId="TOC1">
    <w:name w:val="toc 1"/>
    <w:aliases w:val="Observation TOC2"/>
    <w:uiPriority w:val="39"/>
    <w:rsid w:val="00C316B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316BD"/>
    <w:pPr>
      <w:keepNext/>
      <w:keepLines/>
      <w:spacing w:before="180"/>
      <w:jc w:val="center"/>
    </w:pPr>
  </w:style>
  <w:style w:type="paragraph" w:styleId="Caption">
    <w:name w:val="caption"/>
    <w:basedOn w:val="Normal"/>
    <w:next w:val="Normal"/>
    <w:qFormat/>
    <w:rsid w:val="00C316BD"/>
    <w:pPr>
      <w:spacing w:after="240"/>
      <w:jc w:val="center"/>
    </w:pPr>
    <w:rPr>
      <w:b/>
      <w:bCs/>
    </w:rPr>
  </w:style>
  <w:style w:type="paragraph" w:styleId="TOC5">
    <w:name w:val="toc 5"/>
    <w:aliases w:val="Observation TOC"/>
    <w:basedOn w:val="TOC4"/>
    <w:semiHidden/>
    <w:rsid w:val="00C316BD"/>
    <w:pPr>
      <w:tabs>
        <w:tab w:val="right" w:pos="1701"/>
      </w:tabs>
      <w:ind w:left="1701" w:hanging="1701"/>
    </w:pPr>
  </w:style>
  <w:style w:type="paragraph" w:styleId="TOC4">
    <w:name w:val="toc 4"/>
    <w:basedOn w:val="TOC3"/>
    <w:semiHidden/>
    <w:rsid w:val="00C316BD"/>
    <w:pPr>
      <w:ind w:left="1418" w:hanging="1418"/>
    </w:pPr>
  </w:style>
  <w:style w:type="paragraph" w:styleId="TOC3">
    <w:name w:val="toc 3"/>
    <w:basedOn w:val="TOC2"/>
    <w:semiHidden/>
    <w:rsid w:val="00C316BD"/>
    <w:pPr>
      <w:ind w:left="1134" w:hanging="1134"/>
    </w:pPr>
  </w:style>
  <w:style w:type="paragraph" w:styleId="TOC2">
    <w:name w:val="toc 2"/>
    <w:basedOn w:val="TOC1"/>
    <w:semiHidden/>
    <w:rsid w:val="00C316BD"/>
    <w:pPr>
      <w:keepNext w:val="0"/>
      <w:spacing w:before="0"/>
      <w:ind w:left="851" w:hanging="851"/>
    </w:pPr>
    <w:rPr>
      <w:szCs w:val="20"/>
    </w:rPr>
  </w:style>
  <w:style w:type="paragraph" w:styleId="Index2">
    <w:name w:val="index 2"/>
    <w:basedOn w:val="Index1"/>
    <w:semiHidden/>
    <w:rsid w:val="00C316BD"/>
    <w:pPr>
      <w:ind w:left="284"/>
    </w:pPr>
  </w:style>
  <w:style w:type="paragraph" w:styleId="Index1">
    <w:name w:val="index 1"/>
    <w:basedOn w:val="Normal"/>
    <w:semiHidden/>
    <w:rsid w:val="00C316BD"/>
    <w:pPr>
      <w:keepLines/>
      <w:spacing w:after="0"/>
    </w:pPr>
  </w:style>
  <w:style w:type="paragraph" w:styleId="DocumentMap">
    <w:name w:val="Document Map"/>
    <w:basedOn w:val="Normal"/>
    <w:semiHidden/>
    <w:rsid w:val="00C316BD"/>
    <w:pPr>
      <w:shd w:val="clear" w:color="auto" w:fill="000080"/>
    </w:pPr>
    <w:rPr>
      <w:rFonts w:ascii="Tahoma" w:hAnsi="Tahoma" w:cs="Tahoma"/>
    </w:rPr>
  </w:style>
  <w:style w:type="paragraph" w:styleId="ListNumber2">
    <w:name w:val="List Number 2"/>
    <w:basedOn w:val="ListNumber"/>
    <w:rsid w:val="00C316BD"/>
    <w:pPr>
      <w:ind w:left="851"/>
    </w:pPr>
  </w:style>
  <w:style w:type="paragraph" w:styleId="ListNumber">
    <w:name w:val="List Number"/>
    <w:basedOn w:val="List"/>
    <w:rsid w:val="00C316BD"/>
  </w:style>
  <w:style w:type="paragraph" w:styleId="List">
    <w:name w:val="List"/>
    <w:basedOn w:val="Normal"/>
    <w:rsid w:val="00C316BD"/>
    <w:pPr>
      <w:ind w:left="568" w:hanging="284"/>
    </w:pPr>
  </w:style>
  <w:style w:type="paragraph" w:styleId="Header">
    <w:name w:val="header"/>
    <w:rsid w:val="00C316B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316BD"/>
    <w:rPr>
      <w:b/>
      <w:bCs/>
      <w:position w:val="6"/>
      <w:sz w:val="16"/>
      <w:szCs w:val="16"/>
    </w:rPr>
  </w:style>
  <w:style w:type="paragraph" w:styleId="FootnoteText">
    <w:name w:val="footnote text"/>
    <w:basedOn w:val="Normal"/>
    <w:semiHidden/>
    <w:rsid w:val="00C316BD"/>
    <w:pPr>
      <w:keepLines/>
      <w:spacing w:after="0"/>
      <w:ind w:left="454" w:hanging="454"/>
    </w:pPr>
    <w:rPr>
      <w:sz w:val="16"/>
      <w:szCs w:val="16"/>
    </w:rPr>
  </w:style>
  <w:style w:type="paragraph" w:customStyle="1" w:styleId="3GPPHeader">
    <w:name w:val="3GPP_Header"/>
    <w:basedOn w:val="Normal"/>
    <w:rsid w:val="00C316BD"/>
    <w:pPr>
      <w:tabs>
        <w:tab w:val="left" w:pos="1701"/>
        <w:tab w:val="right" w:pos="9639"/>
      </w:tabs>
      <w:spacing w:after="240"/>
    </w:pPr>
    <w:rPr>
      <w:b/>
      <w:sz w:val="24"/>
    </w:rPr>
  </w:style>
  <w:style w:type="paragraph" w:styleId="TOC9">
    <w:name w:val="toc 9"/>
    <w:basedOn w:val="TOC8"/>
    <w:semiHidden/>
    <w:rsid w:val="00C316BD"/>
    <w:pPr>
      <w:ind w:left="1418" w:hanging="1418"/>
    </w:pPr>
  </w:style>
  <w:style w:type="paragraph" w:styleId="TOC6">
    <w:name w:val="toc 6"/>
    <w:basedOn w:val="TOC5"/>
    <w:next w:val="Normal"/>
    <w:semiHidden/>
    <w:rsid w:val="00C316BD"/>
    <w:pPr>
      <w:ind w:left="1985" w:hanging="1985"/>
    </w:pPr>
  </w:style>
  <w:style w:type="paragraph" w:styleId="TOC7">
    <w:name w:val="toc 7"/>
    <w:basedOn w:val="TOC6"/>
    <w:next w:val="Normal"/>
    <w:semiHidden/>
    <w:rsid w:val="00C316BD"/>
    <w:pPr>
      <w:ind w:left="2268" w:hanging="2268"/>
    </w:pPr>
  </w:style>
  <w:style w:type="paragraph" w:styleId="ListBullet2">
    <w:name w:val="List Bullet 2"/>
    <w:basedOn w:val="ListBullet"/>
    <w:rsid w:val="00C316BD"/>
    <w:pPr>
      <w:numPr>
        <w:numId w:val="6"/>
      </w:numPr>
    </w:pPr>
  </w:style>
  <w:style w:type="paragraph" w:styleId="ListBullet">
    <w:name w:val="List Bullet"/>
    <w:basedOn w:val="BodyText"/>
    <w:rsid w:val="00C316BD"/>
    <w:pPr>
      <w:numPr>
        <w:numId w:val="5"/>
      </w:numPr>
    </w:pPr>
  </w:style>
  <w:style w:type="paragraph" w:styleId="ListBullet3">
    <w:name w:val="List Bullet 3"/>
    <w:basedOn w:val="ListBullet2"/>
    <w:rsid w:val="00C316BD"/>
    <w:pPr>
      <w:numPr>
        <w:numId w:val="7"/>
      </w:numPr>
    </w:pPr>
  </w:style>
  <w:style w:type="paragraph" w:customStyle="1" w:styleId="EQ">
    <w:name w:val="EQ"/>
    <w:basedOn w:val="Normal"/>
    <w:next w:val="Normal"/>
    <w:rsid w:val="00C316BD"/>
    <w:pPr>
      <w:keepLines/>
      <w:tabs>
        <w:tab w:val="center" w:pos="4536"/>
        <w:tab w:val="right" w:pos="9072"/>
      </w:tabs>
      <w:spacing w:after="180"/>
      <w:jc w:val="left"/>
    </w:pPr>
    <w:rPr>
      <w:noProof/>
      <w:lang w:eastAsia="en-US"/>
    </w:rPr>
  </w:style>
  <w:style w:type="paragraph" w:styleId="List2">
    <w:name w:val="List 2"/>
    <w:basedOn w:val="List"/>
    <w:rsid w:val="00C316BD"/>
    <w:pPr>
      <w:ind w:left="851"/>
    </w:pPr>
  </w:style>
  <w:style w:type="paragraph" w:styleId="List3">
    <w:name w:val="List 3"/>
    <w:basedOn w:val="List2"/>
    <w:rsid w:val="00C316BD"/>
    <w:pPr>
      <w:ind w:left="1135"/>
    </w:pPr>
  </w:style>
  <w:style w:type="paragraph" w:styleId="List4">
    <w:name w:val="List 4"/>
    <w:basedOn w:val="List3"/>
    <w:rsid w:val="00C316BD"/>
    <w:pPr>
      <w:ind w:left="1418"/>
    </w:pPr>
  </w:style>
  <w:style w:type="paragraph" w:styleId="List5">
    <w:name w:val="List 5"/>
    <w:basedOn w:val="List4"/>
    <w:rsid w:val="00C316BD"/>
    <w:pPr>
      <w:ind w:left="1702"/>
    </w:pPr>
  </w:style>
  <w:style w:type="paragraph" w:customStyle="1" w:styleId="EditorsNote">
    <w:name w:val="Editor's Note"/>
    <w:basedOn w:val="Normal"/>
    <w:rsid w:val="00C316BD"/>
    <w:pPr>
      <w:keepLines/>
      <w:spacing w:after="180"/>
      <w:ind w:left="1135" w:hanging="851"/>
      <w:jc w:val="left"/>
    </w:pPr>
    <w:rPr>
      <w:color w:val="FF0000"/>
      <w:lang w:eastAsia="en-US"/>
    </w:rPr>
  </w:style>
  <w:style w:type="paragraph" w:styleId="ListBullet4">
    <w:name w:val="List Bullet 4"/>
    <w:basedOn w:val="ListBullet3"/>
    <w:rsid w:val="00C316BD"/>
    <w:pPr>
      <w:numPr>
        <w:numId w:val="8"/>
      </w:numPr>
    </w:pPr>
  </w:style>
  <w:style w:type="paragraph" w:styleId="ListBullet5">
    <w:name w:val="List Bullet 5"/>
    <w:basedOn w:val="ListBullet4"/>
    <w:rsid w:val="00C316BD"/>
    <w:pPr>
      <w:numPr>
        <w:numId w:val="4"/>
      </w:numPr>
    </w:pPr>
  </w:style>
  <w:style w:type="paragraph" w:styleId="Footer">
    <w:name w:val="footer"/>
    <w:basedOn w:val="Header"/>
    <w:semiHidden/>
    <w:rsid w:val="00C316BD"/>
    <w:pPr>
      <w:jc w:val="center"/>
    </w:pPr>
    <w:rPr>
      <w:i/>
      <w:iCs/>
    </w:rPr>
  </w:style>
  <w:style w:type="paragraph" w:customStyle="1" w:styleId="Reference">
    <w:name w:val="Reference"/>
    <w:basedOn w:val="Normal"/>
    <w:rsid w:val="00C316BD"/>
    <w:pPr>
      <w:numPr>
        <w:numId w:val="2"/>
      </w:numPr>
    </w:pPr>
  </w:style>
  <w:style w:type="paragraph" w:styleId="BalloonText">
    <w:name w:val="Balloon Text"/>
    <w:basedOn w:val="Normal"/>
    <w:semiHidden/>
    <w:rsid w:val="00C316BD"/>
    <w:rPr>
      <w:rFonts w:ascii="Tahoma" w:hAnsi="Tahoma" w:cs="Tahoma"/>
      <w:sz w:val="16"/>
      <w:szCs w:val="16"/>
    </w:rPr>
  </w:style>
  <w:style w:type="character" w:styleId="PageNumber">
    <w:name w:val="page number"/>
    <w:basedOn w:val="DefaultParagraphFont"/>
    <w:semiHidden/>
    <w:rsid w:val="00C316BD"/>
  </w:style>
  <w:style w:type="paragraph" w:styleId="BodyText">
    <w:name w:val="Body Text"/>
    <w:basedOn w:val="Normal"/>
    <w:link w:val="BodyTextChar"/>
    <w:rsid w:val="00C316BD"/>
  </w:style>
  <w:style w:type="character" w:styleId="Hyperlink">
    <w:name w:val="Hyperlink"/>
    <w:uiPriority w:val="99"/>
    <w:rsid w:val="00C316BD"/>
    <w:rPr>
      <w:color w:val="0000FF"/>
      <w:u w:val="single"/>
      <w:lang w:val="en-GB"/>
    </w:rPr>
  </w:style>
  <w:style w:type="character" w:styleId="FollowedHyperlink">
    <w:name w:val="FollowedHyperlink"/>
    <w:semiHidden/>
    <w:rsid w:val="00C316BD"/>
    <w:rPr>
      <w:color w:val="FF0000"/>
      <w:u w:val="single"/>
    </w:rPr>
  </w:style>
  <w:style w:type="character" w:styleId="CommentReference">
    <w:name w:val="annotation reference"/>
    <w:semiHidden/>
    <w:rsid w:val="00C316BD"/>
    <w:rPr>
      <w:sz w:val="16"/>
      <w:szCs w:val="16"/>
    </w:rPr>
  </w:style>
  <w:style w:type="paragraph" w:styleId="CommentText">
    <w:name w:val="annotation text"/>
    <w:basedOn w:val="Normal"/>
    <w:semiHidden/>
    <w:rsid w:val="00C316BD"/>
  </w:style>
  <w:style w:type="paragraph" w:styleId="CommentSubject">
    <w:name w:val="annotation subject"/>
    <w:basedOn w:val="CommentText"/>
    <w:next w:val="CommentText"/>
    <w:semiHidden/>
    <w:rsid w:val="00C316BD"/>
    <w:rPr>
      <w:b/>
      <w:bCs/>
    </w:rPr>
  </w:style>
  <w:style w:type="character" w:customStyle="1" w:styleId="Heading1Char">
    <w:name w:val="Heading 1 Char"/>
    <w:link w:val="Heading1"/>
    <w:rsid w:val="00C316BD"/>
    <w:rPr>
      <w:rFonts w:ascii="Arial" w:hAnsi="Arial" w:cs="Arial"/>
      <w:sz w:val="36"/>
      <w:szCs w:val="36"/>
      <w:lang w:val="en-GB"/>
    </w:rPr>
  </w:style>
  <w:style w:type="paragraph" w:customStyle="1" w:styleId="B1">
    <w:name w:val="B1"/>
    <w:basedOn w:val="List"/>
    <w:rsid w:val="00C316BD"/>
    <w:pPr>
      <w:spacing w:after="180"/>
      <w:jc w:val="left"/>
    </w:pPr>
    <w:rPr>
      <w:lang w:eastAsia="en-US"/>
    </w:rPr>
  </w:style>
  <w:style w:type="paragraph" w:customStyle="1" w:styleId="B2">
    <w:name w:val="B2"/>
    <w:basedOn w:val="List2"/>
    <w:rsid w:val="00C316BD"/>
    <w:pPr>
      <w:spacing w:after="180"/>
      <w:jc w:val="left"/>
    </w:pPr>
    <w:rPr>
      <w:lang w:eastAsia="en-US"/>
    </w:rPr>
  </w:style>
  <w:style w:type="paragraph" w:customStyle="1" w:styleId="B3">
    <w:name w:val="B3"/>
    <w:basedOn w:val="List3"/>
    <w:rsid w:val="00C316BD"/>
    <w:pPr>
      <w:spacing w:after="180"/>
      <w:jc w:val="left"/>
    </w:pPr>
    <w:rPr>
      <w:lang w:eastAsia="en-US"/>
    </w:rPr>
  </w:style>
  <w:style w:type="paragraph" w:customStyle="1" w:styleId="B4">
    <w:name w:val="B4"/>
    <w:basedOn w:val="List4"/>
    <w:rsid w:val="00C316BD"/>
    <w:pPr>
      <w:spacing w:after="180"/>
      <w:jc w:val="left"/>
    </w:pPr>
    <w:rPr>
      <w:lang w:eastAsia="en-US"/>
    </w:rPr>
  </w:style>
  <w:style w:type="paragraph" w:customStyle="1" w:styleId="Proposal">
    <w:name w:val="Proposal"/>
    <w:basedOn w:val="Normal"/>
    <w:rsid w:val="00C316BD"/>
    <w:pPr>
      <w:numPr>
        <w:numId w:val="43"/>
      </w:numPr>
      <w:tabs>
        <w:tab w:val="left" w:pos="1701"/>
      </w:tabs>
    </w:pPr>
    <w:rPr>
      <w:b/>
      <w:bCs/>
    </w:rPr>
  </w:style>
  <w:style w:type="character" w:customStyle="1" w:styleId="BodyTextChar">
    <w:name w:val="Body Text Char"/>
    <w:link w:val="BodyText"/>
    <w:rsid w:val="00C316BD"/>
    <w:rPr>
      <w:rFonts w:ascii="Arial" w:hAnsi="Arial"/>
      <w:lang w:val="en-GB"/>
    </w:rPr>
  </w:style>
  <w:style w:type="paragraph" w:customStyle="1" w:styleId="B5">
    <w:name w:val="B5"/>
    <w:basedOn w:val="List5"/>
    <w:rsid w:val="00C316BD"/>
    <w:pPr>
      <w:spacing w:after="180"/>
      <w:jc w:val="left"/>
    </w:pPr>
    <w:rPr>
      <w:lang w:eastAsia="en-US"/>
    </w:rPr>
  </w:style>
  <w:style w:type="paragraph" w:customStyle="1" w:styleId="EX">
    <w:name w:val="EX"/>
    <w:basedOn w:val="Normal"/>
    <w:rsid w:val="00C316BD"/>
    <w:pPr>
      <w:keepLines/>
      <w:spacing w:after="180"/>
      <w:ind w:left="1702" w:hanging="1418"/>
      <w:jc w:val="left"/>
    </w:pPr>
    <w:rPr>
      <w:lang w:eastAsia="en-US"/>
    </w:rPr>
  </w:style>
  <w:style w:type="paragraph" w:customStyle="1" w:styleId="EW">
    <w:name w:val="EW"/>
    <w:basedOn w:val="EX"/>
    <w:rsid w:val="00C316BD"/>
    <w:pPr>
      <w:spacing w:after="0"/>
    </w:pPr>
  </w:style>
  <w:style w:type="paragraph" w:customStyle="1" w:styleId="TAL">
    <w:name w:val="TAL"/>
    <w:basedOn w:val="Normal"/>
    <w:link w:val="TALCar"/>
    <w:rsid w:val="00C316BD"/>
    <w:pPr>
      <w:keepNext/>
      <w:keepLines/>
      <w:spacing w:after="0"/>
      <w:jc w:val="left"/>
    </w:pPr>
    <w:rPr>
      <w:sz w:val="18"/>
      <w:lang w:eastAsia="en-US"/>
    </w:rPr>
  </w:style>
  <w:style w:type="paragraph" w:customStyle="1" w:styleId="TAC">
    <w:name w:val="TAC"/>
    <w:basedOn w:val="TAL"/>
    <w:rsid w:val="00C316BD"/>
    <w:pPr>
      <w:jc w:val="center"/>
    </w:pPr>
  </w:style>
  <w:style w:type="paragraph" w:customStyle="1" w:styleId="TAH">
    <w:name w:val="TAH"/>
    <w:basedOn w:val="TAC"/>
    <w:rsid w:val="00C316BD"/>
    <w:rPr>
      <w:b/>
    </w:rPr>
  </w:style>
  <w:style w:type="paragraph" w:customStyle="1" w:styleId="TAN">
    <w:name w:val="TAN"/>
    <w:basedOn w:val="TAL"/>
    <w:rsid w:val="00C316BD"/>
    <w:pPr>
      <w:ind w:left="851" w:hanging="851"/>
    </w:pPr>
  </w:style>
  <w:style w:type="paragraph" w:customStyle="1" w:styleId="TAR">
    <w:name w:val="TAR"/>
    <w:basedOn w:val="TAL"/>
    <w:rsid w:val="00C316BD"/>
    <w:pPr>
      <w:jc w:val="right"/>
    </w:pPr>
  </w:style>
  <w:style w:type="paragraph" w:customStyle="1" w:styleId="TH">
    <w:name w:val="TH"/>
    <w:basedOn w:val="Normal"/>
    <w:link w:val="THChar"/>
    <w:rsid w:val="00C316BD"/>
    <w:pPr>
      <w:keepNext/>
      <w:keepLines/>
      <w:spacing w:before="60" w:after="180"/>
      <w:jc w:val="center"/>
    </w:pPr>
    <w:rPr>
      <w:b/>
      <w:lang w:eastAsia="en-US"/>
    </w:rPr>
  </w:style>
  <w:style w:type="paragraph" w:customStyle="1" w:styleId="TF">
    <w:name w:val="TF"/>
    <w:basedOn w:val="TH"/>
    <w:rsid w:val="00C316BD"/>
    <w:pPr>
      <w:keepNext w:val="0"/>
      <w:spacing w:before="0" w:after="240"/>
    </w:pPr>
  </w:style>
  <w:style w:type="paragraph" w:customStyle="1" w:styleId="TT">
    <w:name w:val="TT"/>
    <w:basedOn w:val="Heading1"/>
    <w:next w:val="Normal"/>
    <w:rsid w:val="00C316BD"/>
    <w:pPr>
      <w:numPr>
        <w:numId w:val="0"/>
      </w:numPr>
      <w:ind w:left="1134" w:hanging="1134"/>
      <w:outlineLvl w:val="9"/>
    </w:pPr>
    <w:rPr>
      <w:rFonts w:cs="Times New Roman"/>
      <w:szCs w:val="20"/>
      <w:lang w:eastAsia="en-US"/>
    </w:rPr>
  </w:style>
  <w:style w:type="paragraph" w:customStyle="1" w:styleId="ZA">
    <w:name w:val="ZA"/>
    <w:rsid w:val="00C316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6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6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316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316BD"/>
  </w:style>
  <w:style w:type="paragraph" w:customStyle="1" w:styleId="ZH">
    <w:name w:val="ZH"/>
    <w:rsid w:val="00C316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316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316BD"/>
    <w:pPr>
      <w:framePr w:hRule="auto" w:wrap="notBeside" w:y="852"/>
    </w:pPr>
    <w:rPr>
      <w:i w:val="0"/>
      <w:sz w:val="40"/>
    </w:rPr>
  </w:style>
  <w:style w:type="paragraph" w:customStyle="1" w:styleId="ZU">
    <w:name w:val="ZU"/>
    <w:rsid w:val="00C316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6BD"/>
    <w:pPr>
      <w:framePr w:wrap="notBeside" w:y="16161"/>
    </w:pPr>
  </w:style>
  <w:style w:type="paragraph" w:customStyle="1" w:styleId="FP">
    <w:name w:val="FP"/>
    <w:basedOn w:val="Normal"/>
    <w:rsid w:val="00C316BD"/>
    <w:pPr>
      <w:spacing w:after="0"/>
      <w:jc w:val="left"/>
    </w:pPr>
    <w:rPr>
      <w:lang w:eastAsia="en-US"/>
    </w:rPr>
  </w:style>
  <w:style w:type="paragraph" w:customStyle="1" w:styleId="Observation">
    <w:name w:val="Observation"/>
    <w:basedOn w:val="Proposal"/>
    <w:qFormat/>
    <w:rsid w:val="00C316BD"/>
    <w:pPr>
      <w:numPr>
        <w:numId w:val="13"/>
      </w:numPr>
      <w:ind w:left="1701" w:hanging="1701"/>
    </w:pPr>
  </w:style>
  <w:style w:type="paragraph" w:styleId="TableofFigures">
    <w:name w:val="table of figures"/>
    <w:basedOn w:val="Normal"/>
    <w:next w:val="Normal"/>
    <w:uiPriority w:val="99"/>
    <w:rsid w:val="00C316BD"/>
    <w:pPr>
      <w:ind w:left="1418" w:hanging="1418"/>
      <w:jc w:val="left"/>
    </w:pPr>
    <w:rPr>
      <w:b/>
    </w:rPr>
  </w:style>
  <w:style w:type="paragraph" w:styleId="BlockText">
    <w:name w:val="Block Text"/>
    <w:basedOn w:val="Normal"/>
    <w:rsid w:val="005E241A"/>
    <w:pPr>
      <w:ind w:left="1440" w:right="1440"/>
    </w:pPr>
  </w:style>
  <w:style w:type="character" w:customStyle="1" w:styleId="specpage-required-for">
    <w:name w:val="specpage-required-for"/>
    <w:rsid w:val="007E315C"/>
  </w:style>
  <w:style w:type="paragraph" w:customStyle="1" w:styleId="SimpleHeading">
    <w:name w:val="SimpleHeading"/>
    <w:basedOn w:val="Normal"/>
    <w:next w:val="Normal"/>
    <w:qFormat/>
    <w:rsid w:val="00A5201D"/>
    <w:pPr>
      <w:keepNext/>
    </w:pPr>
    <w:rPr>
      <w:b/>
      <w:lang w:val="en-US"/>
    </w:rPr>
  </w:style>
  <w:style w:type="paragraph" w:styleId="MediumList2-Accent2">
    <w:name w:val="Medium List 2 Accent 2"/>
    <w:hidden/>
    <w:uiPriority w:val="99"/>
    <w:semiHidden/>
    <w:rsid w:val="00C316BD"/>
    <w:rPr>
      <w:rFonts w:ascii="Arial" w:hAnsi="Arial"/>
      <w:lang w:val="en-GB" w:eastAsia="zh-CN"/>
    </w:rPr>
  </w:style>
  <w:style w:type="character" w:customStyle="1" w:styleId="THChar">
    <w:name w:val="TH Char"/>
    <w:link w:val="TH"/>
    <w:rsid w:val="00971AE9"/>
    <w:rPr>
      <w:rFonts w:ascii="Arial" w:hAnsi="Arial"/>
      <w:b/>
      <w:lang w:val="en-GB"/>
    </w:rPr>
  </w:style>
  <w:style w:type="character" w:customStyle="1" w:styleId="TALCar">
    <w:name w:val="TAL Car"/>
    <w:link w:val="TAL"/>
    <w:rsid w:val="00971AE9"/>
    <w:rPr>
      <w:rFonts w:ascii="Arial" w:hAnsi="Arial"/>
      <w:sz w:val="18"/>
      <w:lang w:val="en-GB"/>
    </w:rPr>
  </w:style>
  <w:style w:type="table" w:styleId="TableGrid">
    <w:name w:val="Table Grid"/>
    <w:basedOn w:val="TableNormal"/>
    <w:rsid w:val="00622C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09772">
      <w:bodyDiv w:val="1"/>
      <w:marLeft w:val="0"/>
      <w:marRight w:val="0"/>
      <w:marTop w:val="0"/>
      <w:marBottom w:val="0"/>
      <w:divBdr>
        <w:top w:val="none" w:sz="0" w:space="0" w:color="auto"/>
        <w:left w:val="none" w:sz="0" w:space="0" w:color="auto"/>
        <w:bottom w:val="none" w:sz="0" w:space="0" w:color="auto"/>
        <w:right w:val="none" w:sz="0" w:space="0" w:color="auto"/>
      </w:divBdr>
    </w:div>
    <w:div w:id="121312246">
      <w:bodyDiv w:val="1"/>
      <w:marLeft w:val="0"/>
      <w:marRight w:val="0"/>
      <w:marTop w:val="0"/>
      <w:marBottom w:val="0"/>
      <w:divBdr>
        <w:top w:val="none" w:sz="0" w:space="0" w:color="auto"/>
        <w:left w:val="none" w:sz="0" w:space="0" w:color="auto"/>
        <w:bottom w:val="none" w:sz="0" w:space="0" w:color="auto"/>
        <w:right w:val="none" w:sz="0" w:space="0" w:color="auto"/>
      </w:divBdr>
    </w:div>
    <w:div w:id="184025975">
      <w:bodyDiv w:val="1"/>
      <w:marLeft w:val="0"/>
      <w:marRight w:val="0"/>
      <w:marTop w:val="0"/>
      <w:marBottom w:val="0"/>
      <w:divBdr>
        <w:top w:val="none" w:sz="0" w:space="0" w:color="auto"/>
        <w:left w:val="none" w:sz="0" w:space="0" w:color="auto"/>
        <w:bottom w:val="none" w:sz="0" w:space="0" w:color="auto"/>
        <w:right w:val="none" w:sz="0" w:space="0" w:color="auto"/>
      </w:divBdr>
    </w:div>
    <w:div w:id="255790754">
      <w:bodyDiv w:val="1"/>
      <w:marLeft w:val="0"/>
      <w:marRight w:val="0"/>
      <w:marTop w:val="0"/>
      <w:marBottom w:val="0"/>
      <w:divBdr>
        <w:top w:val="none" w:sz="0" w:space="0" w:color="auto"/>
        <w:left w:val="none" w:sz="0" w:space="0" w:color="auto"/>
        <w:bottom w:val="none" w:sz="0" w:space="0" w:color="auto"/>
        <w:right w:val="none" w:sz="0" w:space="0" w:color="auto"/>
      </w:divBdr>
      <w:divsChild>
        <w:div w:id="249435181">
          <w:marLeft w:val="274"/>
          <w:marRight w:val="0"/>
          <w:marTop w:val="86"/>
          <w:marBottom w:val="0"/>
          <w:divBdr>
            <w:top w:val="none" w:sz="0" w:space="0" w:color="auto"/>
            <w:left w:val="none" w:sz="0" w:space="0" w:color="auto"/>
            <w:bottom w:val="none" w:sz="0" w:space="0" w:color="auto"/>
            <w:right w:val="none" w:sz="0" w:space="0" w:color="auto"/>
          </w:divBdr>
        </w:div>
        <w:div w:id="261301752">
          <w:marLeft w:val="274"/>
          <w:marRight w:val="0"/>
          <w:marTop w:val="86"/>
          <w:marBottom w:val="0"/>
          <w:divBdr>
            <w:top w:val="none" w:sz="0" w:space="0" w:color="auto"/>
            <w:left w:val="none" w:sz="0" w:space="0" w:color="auto"/>
            <w:bottom w:val="none" w:sz="0" w:space="0" w:color="auto"/>
            <w:right w:val="none" w:sz="0" w:space="0" w:color="auto"/>
          </w:divBdr>
        </w:div>
        <w:div w:id="416756013">
          <w:marLeft w:val="835"/>
          <w:marRight w:val="0"/>
          <w:marTop w:val="77"/>
          <w:marBottom w:val="0"/>
          <w:divBdr>
            <w:top w:val="none" w:sz="0" w:space="0" w:color="auto"/>
            <w:left w:val="none" w:sz="0" w:space="0" w:color="auto"/>
            <w:bottom w:val="none" w:sz="0" w:space="0" w:color="auto"/>
            <w:right w:val="none" w:sz="0" w:space="0" w:color="auto"/>
          </w:divBdr>
        </w:div>
        <w:div w:id="558445860">
          <w:marLeft w:val="274"/>
          <w:marRight w:val="0"/>
          <w:marTop w:val="86"/>
          <w:marBottom w:val="0"/>
          <w:divBdr>
            <w:top w:val="none" w:sz="0" w:space="0" w:color="auto"/>
            <w:left w:val="none" w:sz="0" w:space="0" w:color="auto"/>
            <w:bottom w:val="none" w:sz="0" w:space="0" w:color="auto"/>
            <w:right w:val="none" w:sz="0" w:space="0" w:color="auto"/>
          </w:divBdr>
        </w:div>
        <w:div w:id="1407922276">
          <w:marLeft w:val="1411"/>
          <w:marRight w:val="0"/>
          <w:marTop w:val="77"/>
          <w:marBottom w:val="0"/>
          <w:divBdr>
            <w:top w:val="none" w:sz="0" w:space="0" w:color="auto"/>
            <w:left w:val="none" w:sz="0" w:space="0" w:color="auto"/>
            <w:bottom w:val="none" w:sz="0" w:space="0" w:color="auto"/>
            <w:right w:val="none" w:sz="0" w:space="0" w:color="auto"/>
          </w:divBdr>
        </w:div>
        <w:div w:id="1482843685">
          <w:marLeft w:val="835"/>
          <w:marRight w:val="0"/>
          <w:marTop w:val="77"/>
          <w:marBottom w:val="0"/>
          <w:divBdr>
            <w:top w:val="none" w:sz="0" w:space="0" w:color="auto"/>
            <w:left w:val="none" w:sz="0" w:space="0" w:color="auto"/>
            <w:bottom w:val="none" w:sz="0" w:space="0" w:color="auto"/>
            <w:right w:val="none" w:sz="0" w:space="0" w:color="auto"/>
          </w:divBdr>
        </w:div>
        <w:div w:id="1509825867">
          <w:marLeft w:val="274"/>
          <w:marRight w:val="0"/>
          <w:marTop w:val="86"/>
          <w:marBottom w:val="0"/>
          <w:divBdr>
            <w:top w:val="none" w:sz="0" w:space="0" w:color="auto"/>
            <w:left w:val="none" w:sz="0" w:space="0" w:color="auto"/>
            <w:bottom w:val="none" w:sz="0" w:space="0" w:color="auto"/>
            <w:right w:val="none" w:sz="0" w:space="0" w:color="auto"/>
          </w:divBdr>
        </w:div>
        <w:div w:id="1557426381">
          <w:marLeft w:val="835"/>
          <w:marRight w:val="0"/>
          <w:marTop w:val="77"/>
          <w:marBottom w:val="0"/>
          <w:divBdr>
            <w:top w:val="none" w:sz="0" w:space="0" w:color="auto"/>
            <w:left w:val="none" w:sz="0" w:space="0" w:color="auto"/>
            <w:bottom w:val="none" w:sz="0" w:space="0" w:color="auto"/>
            <w:right w:val="none" w:sz="0" w:space="0" w:color="auto"/>
          </w:divBdr>
        </w:div>
        <w:div w:id="1711372507">
          <w:marLeft w:val="1411"/>
          <w:marRight w:val="0"/>
          <w:marTop w:val="77"/>
          <w:marBottom w:val="0"/>
          <w:divBdr>
            <w:top w:val="none" w:sz="0" w:space="0" w:color="auto"/>
            <w:left w:val="none" w:sz="0" w:space="0" w:color="auto"/>
            <w:bottom w:val="none" w:sz="0" w:space="0" w:color="auto"/>
            <w:right w:val="none" w:sz="0" w:space="0" w:color="auto"/>
          </w:divBdr>
        </w:div>
        <w:div w:id="1933662866">
          <w:marLeft w:val="835"/>
          <w:marRight w:val="0"/>
          <w:marTop w:val="77"/>
          <w:marBottom w:val="0"/>
          <w:divBdr>
            <w:top w:val="none" w:sz="0" w:space="0" w:color="auto"/>
            <w:left w:val="none" w:sz="0" w:space="0" w:color="auto"/>
            <w:bottom w:val="none" w:sz="0" w:space="0" w:color="auto"/>
            <w:right w:val="none" w:sz="0" w:space="0" w:color="auto"/>
          </w:divBdr>
        </w:div>
      </w:divsChild>
    </w:div>
    <w:div w:id="307054312">
      <w:bodyDiv w:val="1"/>
      <w:marLeft w:val="0"/>
      <w:marRight w:val="0"/>
      <w:marTop w:val="0"/>
      <w:marBottom w:val="0"/>
      <w:divBdr>
        <w:top w:val="none" w:sz="0" w:space="0" w:color="auto"/>
        <w:left w:val="none" w:sz="0" w:space="0" w:color="auto"/>
        <w:bottom w:val="none" w:sz="0" w:space="0" w:color="auto"/>
        <w:right w:val="none" w:sz="0" w:space="0" w:color="auto"/>
      </w:divBdr>
      <w:divsChild>
        <w:div w:id="147326374">
          <w:marLeft w:val="274"/>
          <w:marRight w:val="0"/>
          <w:marTop w:val="86"/>
          <w:marBottom w:val="0"/>
          <w:divBdr>
            <w:top w:val="none" w:sz="0" w:space="0" w:color="auto"/>
            <w:left w:val="none" w:sz="0" w:space="0" w:color="auto"/>
            <w:bottom w:val="none" w:sz="0" w:space="0" w:color="auto"/>
            <w:right w:val="none" w:sz="0" w:space="0" w:color="auto"/>
          </w:divBdr>
        </w:div>
        <w:div w:id="470362986">
          <w:marLeft w:val="274"/>
          <w:marRight w:val="0"/>
          <w:marTop w:val="77"/>
          <w:marBottom w:val="0"/>
          <w:divBdr>
            <w:top w:val="none" w:sz="0" w:space="0" w:color="auto"/>
            <w:left w:val="none" w:sz="0" w:space="0" w:color="auto"/>
            <w:bottom w:val="none" w:sz="0" w:space="0" w:color="auto"/>
            <w:right w:val="none" w:sz="0" w:space="0" w:color="auto"/>
          </w:divBdr>
        </w:div>
        <w:div w:id="477380263">
          <w:marLeft w:val="835"/>
          <w:marRight w:val="0"/>
          <w:marTop w:val="67"/>
          <w:marBottom w:val="0"/>
          <w:divBdr>
            <w:top w:val="none" w:sz="0" w:space="0" w:color="auto"/>
            <w:left w:val="none" w:sz="0" w:space="0" w:color="auto"/>
            <w:bottom w:val="none" w:sz="0" w:space="0" w:color="auto"/>
            <w:right w:val="none" w:sz="0" w:space="0" w:color="auto"/>
          </w:divBdr>
        </w:div>
        <w:div w:id="504516549">
          <w:marLeft w:val="274"/>
          <w:marRight w:val="0"/>
          <w:marTop w:val="77"/>
          <w:marBottom w:val="0"/>
          <w:divBdr>
            <w:top w:val="none" w:sz="0" w:space="0" w:color="auto"/>
            <w:left w:val="none" w:sz="0" w:space="0" w:color="auto"/>
            <w:bottom w:val="none" w:sz="0" w:space="0" w:color="auto"/>
            <w:right w:val="none" w:sz="0" w:space="0" w:color="auto"/>
          </w:divBdr>
        </w:div>
        <w:div w:id="582957668">
          <w:marLeft w:val="835"/>
          <w:marRight w:val="0"/>
          <w:marTop w:val="67"/>
          <w:marBottom w:val="0"/>
          <w:divBdr>
            <w:top w:val="none" w:sz="0" w:space="0" w:color="auto"/>
            <w:left w:val="none" w:sz="0" w:space="0" w:color="auto"/>
            <w:bottom w:val="none" w:sz="0" w:space="0" w:color="auto"/>
            <w:right w:val="none" w:sz="0" w:space="0" w:color="auto"/>
          </w:divBdr>
        </w:div>
        <w:div w:id="1170873512">
          <w:marLeft w:val="274"/>
          <w:marRight w:val="0"/>
          <w:marTop w:val="86"/>
          <w:marBottom w:val="0"/>
          <w:divBdr>
            <w:top w:val="none" w:sz="0" w:space="0" w:color="auto"/>
            <w:left w:val="none" w:sz="0" w:space="0" w:color="auto"/>
            <w:bottom w:val="none" w:sz="0" w:space="0" w:color="auto"/>
            <w:right w:val="none" w:sz="0" w:space="0" w:color="auto"/>
          </w:divBdr>
        </w:div>
        <w:div w:id="1474518563">
          <w:marLeft w:val="274"/>
          <w:marRight w:val="0"/>
          <w:marTop w:val="77"/>
          <w:marBottom w:val="0"/>
          <w:divBdr>
            <w:top w:val="none" w:sz="0" w:space="0" w:color="auto"/>
            <w:left w:val="none" w:sz="0" w:space="0" w:color="auto"/>
            <w:bottom w:val="none" w:sz="0" w:space="0" w:color="auto"/>
            <w:right w:val="none" w:sz="0" w:space="0" w:color="auto"/>
          </w:divBdr>
        </w:div>
        <w:div w:id="1560553005">
          <w:marLeft w:val="274"/>
          <w:marRight w:val="0"/>
          <w:marTop w:val="77"/>
          <w:marBottom w:val="0"/>
          <w:divBdr>
            <w:top w:val="none" w:sz="0" w:space="0" w:color="auto"/>
            <w:left w:val="none" w:sz="0" w:space="0" w:color="auto"/>
            <w:bottom w:val="none" w:sz="0" w:space="0" w:color="auto"/>
            <w:right w:val="none" w:sz="0" w:space="0" w:color="auto"/>
          </w:divBdr>
        </w:div>
        <w:div w:id="1614089070">
          <w:marLeft w:val="835"/>
          <w:marRight w:val="0"/>
          <w:marTop w:val="67"/>
          <w:marBottom w:val="0"/>
          <w:divBdr>
            <w:top w:val="none" w:sz="0" w:space="0" w:color="auto"/>
            <w:left w:val="none" w:sz="0" w:space="0" w:color="auto"/>
            <w:bottom w:val="none" w:sz="0" w:space="0" w:color="auto"/>
            <w:right w:val="none" w:sz="0" w:space="0" w:color="auto"/>
          </w:divBdr>
        </w:div>
        <w:div w:id="1712261947">
          <w:marLeft w:val="274"/>
          <w:marRight w:val="0"/>
          <w:marTop w:val="77"/>
          <w:marBottom w:val="0"/>
          <w:divBdr>
            <w:top w:val="none" w:sz="0" w:space="0" w:color="auto"/>
            <w:left w:val="none" w:sz="0" w:space="0" w:color="auto"/>
            <w:bottom w:val="none" w:sz="0" w:space="0" w:color="auto"/>
            <w:right w:val="none" w:sz="0" w:space="0" w:color="auto"/>
          </w:divBdr>
        </w:div>
      </w:divsChild>
    </w:div>
    <w:div w:id="524516511">
      <w:bodyDiv w:val="1"/>
      <w:marLeft w:val="0"/>
      <w:marRight w:val="0"/>
      <w:marTop w:val="0"/>
      <w:marBottom w:val="0"/>
      <w:divBdr>
        <w:top w:val="none" w:sz="0" w:space="0" w:color="auto"/>
        <w:left w:val="none" w:sz="0" w:space="0" w:color="auto"/>
        <w:bottom w:val="none" w:sz="0" w:space="0" w:color="auto"/>
        <w:right w:val="none" w:sz="0" w:space="0" w:color="auto"/>
      </w:divBdr>
    </w:div>
    <w:div w:id="561019964">
      <w:bodyDiv w:val="1"/>
      <w:marLeft w:val="0"/>
      <w:marRight w:val="0"/>
      <w:marTop w:val="0"/>
      <w:marBottom w:val="0"/>
      <w:divBdr>
        <w:top w:val="none" w:sz="0" w:space="0" w:color="auto"/>
        <w:left w:val="none" w:sz="0" w:space="0" w:color="auto"/>
        <w:bottom w:val="none" w:sz="0" w:space="0" w:color="auto"/>
        <w:right w:val="none" w:sz="0" w:space="0" w:color="auto"/>
      </w:divBdr>
    </w:div>
    <w:div w:id="629894941">
      <w:bodyDiv w:val="1"/>
      <w:marLeft w:val="0"/>
      <w:marRight w:val="0"/>
      <w:marTop w:val="0"/>
      <w:marBottom w:val="0"/>
      <w:divBdr>
        <w:top w:val="none" w:sz="0" w:space="0" w:color="auto"/>
        <w:left w:val="none" w:sz="0" w:space="0" w:color="auto"/>
        <w:bottom w:val="none" w:sz="0" w:space="0" w:color="auto"/>
        <w:right w:val="none" w:sz="0" w:space="0" w:color="auto"/>
      </w:divBdr>
    </w:div>
    <w:div w:id="657466931">
      <w:bodyDiv w:val="1"/>
      <w:marLeft w:val="0"/>
      <w:marRight w:val="0"/>
      <w:marTop w:val="0"/>
      <w:marBottom w:val="0"/>
      <w:divBdr>
        <w:top w:val="none" w:sz="0" w:space="0" w:color="auto"/>
        <w:left w:val="none" w:sz="0" w:space="0" w:color="auto"/>
        <w:bottom w:val="none" w:sz="0" w:space="0" w:color="auto"/>
        <w:right w:val="none" w:sz="0" w:space="0" w:color="auto"/>
      </w:divBdr>
    </w:div>
    <w:div w:id="663820393">
      <w:bodyDiv w:val="1"/>
      <w:marLeft w:val="0"/>
      <w:marRight w:val="0"/>
      <w:marTop w:val="0"/>
      <w:marBottom w:val="0"/>
      <w:divBdr>
        <w:top w:val="none" w:sz="0" w:space="0" w:color="auto"/>
        <w:left w:val="none" w:sz="0" w:space="0" w:color="auto"/>
        <w:bottom w:val="none" w:sz="0" w:space="0" w:color="auto"/>
        <w:right w:val="none" w:sz="0" w:space="0" w:color="auto"/>
      </w:divBdr>
    </w:div>
    <w:div w:id="679356968">
      <w:bodyDiv w:val="1"/>
      <w:marLeft w:val="0"/>
      <w:marRight w:val="0"/>
      <w:marTop w:val="0"/>
      <w:marBottom w:val="0"/>
      <w:divBdr>
        <w:top w:val="none" w:sz="0" w:space="0" w:color="auto"/>
        <w:left w:val="none" w:sz="0" w:space="0" w:color="auto"/>
        <w:bottom w:val="none" w:sz="0" w:space="0" w:color="auto"/>
        <w:right w:val="none" w:sz="0" w:space="0" w:color="auto"/>
      </w:divBdr>
    </w:div>
    <w:div w:id="803736447">
      <w:bodyDiv w:val="1"/>
      <w:marLeft w:val="0"/>
      <w:marRight w:val="0"/>
      <w:marTop w:val="0"/>
      <w:marBottom w:val="0"/>
      <w:divBdr>
        <w:top w:val="none" w:sz="0" w:space="0" w:color="auto"/>
        <w:left w:val="none" w:sz="0" w:space="0" w:color="auto"/>
        <w:bottom w:val="none" w:sz="0" w:space="0" w:color="auto"/>
        <w:right w:val="none" w:sz="0" w:space="0" w:color="auto"/>
      </w:divBdr>
    </w:div>
    <w:div w:id="1136877713">
      <w:bodyDiv w:val="1"/>
      <w:marLeft w:val="0"/>
      <w:marRight w:val="0"/>
      <w:marTop w:val="0"/>
      <w:marBottom w:val="0"/>
      <w:divBdr>
        <w:top w:val="none" w:sz="0" w:space="0" w:color="auto"/>
        <w:left w:val="none" w:sz="0" w:space="0" w:color="auto"/>
        <w:bottom w:val="none" w:sz="0" w:space="0" w:color="auto"/>
        <w:right w:val="none" w:sz="0" w:space="0" w:color="auto"/>
      </w:divBdr>
    </w:div>
    <w:div w:id="1477917718">
      <w:bodyDiv w:val="1"/>
      <w:marLeft w:val="0"/>
      <w:marRight w:val="0"/>
      <w:marTop w:val="0"/>
      <w:marBottom w:val="0"/>
      <w:divBdr>
        <w:top w:val="none" w:sz="0" w:space="0" w:color="auto"/>
        <w:left w:val="none" w:sz="0" w:space="0" w:color="auto"/>
        <w:bottom w:val="none" w:sz="0" w:space="0" w:color="auto"/>
        <w:right w:val="none" w:sz="0" w:space="0" w:color="auto"/>
      </w:divBdr>
    </w:div>
    <w:div w:id="1603143949">
      <w:bodyDiv w:val="1"/>
      <w:marLeft w:val="0"/>
      <w:marRight w:val="0"/>
      <w:marTop w:val="0"/>
      <w:marBottom w:val="0"/>
      <w:divBdr>
        <w:top w:val="none" w:sz="0" w:space="0" w:color="auto"/>
        <w:left w:val="none" w:sz="0" w:space="0" w:color="auto"/>
        <w:bottom w:val="none" w:sz="0" w:space="0" w:color="auto"/>
        <w:right w:val="none" w:sz="0" w:space="0" w:color="auto"/>
      </w:divBdr>
      <w:divsChild>
        <w:div w:id="226260682">
          <w:marLeft w:val="835"/>
          <w:marRight w:val="0"/>
          <w:marTop w:val="96"/>
          <w:marBottom w:val="0"/>
          <w:divBdr>
            <w:top w:val="none" w:sz="0" w:space="0" w:color="auto"/>
            <w:left w:val="none" w:sz="0" w:space="0" w:color="auto"/>
            <w:bottom w:val="none" w:sz="0" w:space="0" w:color="auto"/>
            <w:right w:val="none" w:sz="0" w:space="0" w:color="auto"/>
          </w:divBdr>
        </w:div>
        <w:div w:id="281154971">
          <w:marLeft w:val="274"/>
          <w:marRight w:val="0"/>
          <w:marTop w:val="115"/>
          <w:marBottom w:val="0"/>
          <w:divBdr>
            <w:top w:val="none" w:sz="0" w:space="0" w:color="auto"/>
            <w:left w:val="none" w:sz="0" w:space="0" w:color="auto"/>
            <w:bottom w:val="none" w:sz="0" w:space="0" w:color="auto"/>
            <w:right w:val="none" w:sz="0" w:space="0" w:color="auto"/>
          </w:divBdr>
        </w:div>
        <w:div w:id="500630282">
          <w:marLeft w:val="1411"/>
          <w:marRight w:val="0"/>
          <w:marTop w:val="96"/>
          <w:marBottom w:val="0"/>
          <w:divBdr>
            <w:top w:val="none" w:sz="0" w:space="0" w:color="auto"/>
            <w:left w:val="none" w:sz="0" w:space="0" w:color="auto"/>
            <w:bottom w:val="none" w:sz="0" w:space="0" w:color="auto"/>
            <w:right w:val="none" w:sz="0" w:space="0" w:color="auto"/>
          </w:divBdr>
        </w:div>
        <w:div w:id="769395883">
          <w:marLeft w:val="835"/>
          <w:marRight w:val="0"/>
          <w:marTop w:val="96"/>
          <w:marBottom w:val="0"/>
          <w:divBdr>
            <w:top w:val="none" w:sz="0" w:space="0" w:color="auto"/>
            <w:left w:val="none" w:sz="0" w:space="0" w:color="auto"/>
            <w:bottom w:val="none" w:sz="0" w:space="0" w:color="auto"/>
            <w:right w:val="none" w:sz="0" w:space="0" w:color="auto"/>
          </w:divBdr>
        </w:div>
        <w:div w:id="842090707">
          <w:marLeft w:val="835"/>
          <w:marRight w:val="0"/>
          <w:marTop w:val="96"/>
          <w:marBottom w:val="0"/>
          <w:divBdr>
            <w:top w:val="none" w:sz="0" w:space="0" w:color="auto"/>
            <w:left w:val="none" w:sz="0" w:space="0" w:color="auto"/>
            <w:bottom w:val="none" w:sz="0" w:space="0" w:color="auto"/>
            <w:right w:val="none" w:sz="0" w:space="0" w:color="auto"/>
          </w:divBdr>
        </w:div>
        <w:div w:id="1237933554">
          <w:marLeft w:val="274"/>
          <w:marRight w:val="0"/>
          <w:marTop w:val="115"/>
          <w:marBottom w:val="0"/>
          <w:divBdr>
            <w:top w:val="none" w:sz="0" w:space="0" w:color="auto"/>
            <w:left w:val="none" w:sz="0" w:space="0" w:color="auto"/>
            <w:bottom w:val="none" w:sz="0" w:space="0" w:color="auto"/>
            <w:right w:val="none" w:sz="0" w:space="0" w:color="auto"/>
          </w:divBdr>
        </w:div>
        <w:div w:id="1271428453">
          <w:marLeft w:val="274"/>
          <w:marRight w:val="0"/>
          <w:marTop w:val="115"/>
          <w:marBottom w:val="0"/>
          <w:divBdr>
            <w:top w:val="none" w:sz="0" w:space="0" w:color="auto"/>
            <w:left w:val="none" w:sz="0" w:space="0" w:color="auto"/>
            <w:bottom w:val="none" w:sz="0" w:space="0" w:color="auto"/>
            <w:right w:val="none" w:sz="0" w:space="0" w:color="auto"/>
          </w:divBdr>
        </w:div>
        <w:div w:id="1357074704">
          <w:marLeft w:val="1411"/>
          <w:marRight w:val="0"/>
          <w:marTop w:val="96"/>
          <w:marBottom w:val="0"/>
          <w:divBdr>
            <w:top w:val="none" w:sz="0" w:space="0" w:color="auto"/>
            <w:left w:val="none" w:sz="0" w:space="0" w:color="auto"/>
            <w:bottom w:val="none" w:sz="0" w:space="0" w:color="auto"/>
            <w:right w:val="none" w:sz="0" w:space="0" w:color="auto"/>
          </w:divBdr>
        </w:div>
      </w:divsChild>
    </w:div>
    <w:div w:id="1731884579">
      <w:bodyDiv w:val="1"/>
      <w:marLeft w:val="0"/>
      <w:marRight w:val="0"/>
      <w:marTop w:val="0"/>
      <w:marBottom w:val="0"/>
      <w:divBdr>
        <w:top w:val="none" w:sz="0" w:space="0" w:color="auto"/>
        <w:left w:val="none" w:sz="0" w:space="0" w:color="auto"/>
        <w:bottom w:val="none" w:sz="0" w:space="0" w:color="auto"/>
        <w:right w:val="none" w:sz="0" w:space="0" w:color="auto"/>
      </w:divBdr>
      <w:divsChild>
        <w:div w:id="1780300486">
          <w:marLeft w:val="1411"/>
          <w:marRight w:val="0"/>
          <w:marTop w:val="77"/>
          <w:marBottom w:val="0"/>
          <w:divBdr>
            <w:top w:val="none" w:sz="0" w:space="0" w:color="auto"/>
            <w:left w:val="none" w:sz="0" w:space="0" w:color="auto"/>
            <w:bottom w:val="none" w:sz="0" w:space="0" w:color="auto"/>
            <w:right w:val="none" w:sz="0" w:space="0" w:color="auto"/>
          </w:divBdr>
        </w:div>
      </w:divsChild>
    </w:div>
    <w:div w:id="1827239480">
      <w:bodyDiv w:val="1"/>
      <w:marLeft w:val="0"/>
      <w:marRight w:val="0"/>
      <w:marTop w:val="0"/>
      <w:marBottom w:val="0"/>
      <w:divBdr>
        <w:top w:val="none" w:sz="0" w:space="0" w:color="auto"/>
        <w:left w:val="none" w:sz="0" w:space="0" w:color="auto"/>
        <w:bottom w:val="none" w:sz="0" w:space="0" w:color="auto"/>
        <w:right w:val="none" w:sz="0" w:space="0" w:color="auto"/>
      </w:divBdr>
      <w:divsChild>
        <w:div w:id="418789997">
          <w:marLeft w:val="274"/>
          <w:marRight w:val="0"/>
          <w:marTop w:val="67"/>
          <w:marBottom w:val="0"/>
          <w:divBdr>
            <w:top w:val="none" w:sz="0" w:space="0" w:color="auto"/>
            <w:left w:val="none" w:sz="0" w:space="0" w:color="auto"/>
            <w:bottom w:val="none" w:sz="0" w:space="0" w:color="auto"/>
            <w:right w:val="none" w:sz="0" w:space="0" w:color="auto"/>
          </w:divBdr>
        </w:div>
        <w:div w:id="532109644">
          <w:marLeft w:val="274"/>
          <w:marRight w:val="0"/>
          <w:marTop w:val="67"/>
          <w:marBottom w:val="0"/>
          <w:divBdr>
            <w:top w:val="none" w:sz="0" w:space="0" w:color="auto"/>
            <w:left w:val="none" w:sz="0" w:space="0" w:color="auto"/>
            <w:bottom w:val="none" w:sz="0" w:space="0" w:color="auto"/>
            <w:right w:val="none" w:sz="0" w:space="0" w:color="auto"/>
          </w:divBdr>
        </w:div>
        <w:div w:id="688028962">
          <w:marLeft w:val="835"/>
          <w:marRight w:val="0"/>
          <w:marTop w:val="58"/>
          <w:marBottom w:val="0"/>
          <w:divBdr>
            <w:top w:val="none" w:sz="0" w:space="0" w:color="auto"/>
            <w:left w:val="none" w:sz="0" w:space="0" w:color="auto"/>
            <w:bottom w:val="none" w:sz="0" w:space="0" w:color="auto"/>
            <w:right w:val="none" w:sz="0" w:space="0" w:color="auto"/>
          </w:divBdr>
        </w:div>
        <w:div w:id="757678826">
          <w:marLeft w:val="835"/>
          <w:marRight w:val="0"/>
          <w:marTop w:val="48"/>
          <w:marBottom w:val="0"/>
          <w:divBdr>
            <w:top w:val="none" w:sz="0" w:space="0" w:color="auto"/>
            <w:left w:val="none" w:sz="0" w:space="0" w:color="auto"/>
            <w:bottom w:val="none" w:sz="0" w:space="0" w:color="auto"/>
            <w:right w:val="none" w:sz="0" w:space="0" w:color="auto"/>
          </w:divBdr>
        </w:div>
        <w:div w:id="786893750">
          <w:marLeft w:val="274"/>
          <w:marRight w:val="0"/>
          <w:marTop w:val="67"/>
          <w:marBottom w:val="0"/>
          <w:divBdr>
            <w:top w:val="none" w:sz="0" w:space="0" w:color="auto"/>
            <w:left w:val="none" w:sz="0" w:space="0" w:color="auto"/>
            <w:bottom w:val="none" w:sz="0" w:space="0" w:color="auto"/>
            <w:right w:val="none" w:sz="0" w:space="0" w:color="auto"/>
          </w:divBdr>
        </w:div>
        <w:div w:id="906263976">
          <w:marLeft w:val="835"/>
          <w:marRight w:val="0"/>
          <w:marTop w:val="53"/>
          <w:marBottom w:val="0"/>
          <w:divBdr>
            <w:top w:val="none" w:sz="0" w:space="0" w:color="auto"/>
            <w:left w:val="none" w:sz="0" w:space="0" w:color="auto"/>
            <w:bottom w:val="none" w:sz="0" w:space="0" w:color="auto"/>
            <w:right w:val="none" w:sz="0" w:space="0" w:color="auto"/>
          </w:divBdr>
        </w:div>
        <w:div w:id="960647473">
          <w:marLeft w:val="274"/>
          <w:marRight w:val="0"/>
          <w:marTop w:val="67"/>
          <w:marBottom w:val="0"/>
          <w:divBdr>
            <w:top w:val="none" w:sz="0" w:space="0" w:color="auto"/>
            <w:left w:val="none" w:sz="0" w:space="0" w:color="auto"/>
            <w:bottom w:val="none" w:sz="0" w:space="0" w:color="auto"/>
            <w:right w:val="none" w:sz="0" w:space="0" w:color="auto"/>
          </w:divBdr>
        </w:div>
        <w:div w:id="1240940067">
          <w:marLeft w:val="835"/>
          <w:marRight w:val="0"/>
          <w:marTop w:val="58"/>
          <w:marBottom w:val="0"/>
          <w:divBdr>
            <w:top w:val="none" w:sz="0" w:space="0" w:color="auto"/>
            <w:left w:val="none" w:sz="0" w:space="0" w:color="auto"/>
            <w:bottom w:val="none" w:sz="0" w:space="0" w:color="auto"/>
            <w:right w:val="none" w:sz="0" w:space="0" w:color="auto"/>
          </w:divBdr>
        </w:div>
        <w:div w:id="1451775173">
          <w:marLeft w:val="274"/>
          <w:marRight w:val="0"/>
          <w:marTop w:val="67"/>
          <w:marBottom w:val="0"/>
          <w:divBdr>
            <w:top w:val="none" w:sz="0" w:space="0" w:color="auto"/>
            <w:left w:val="none" w:sz="0" w:space="0" w:color="auto"/>
            <w:bottom w:val="none" w:sz="0" w:space="0" w:color="auto"/>
            <w:right w:val="none" w:sz="0" w:space="0" w:color="auto"/>
          </w:divBdr>
        </w:div>
        <w:div w:id="1539195652">
          <w:marLeft w:val="274"/>
          <w:marRight w:val="0"/>
          <w:marTop w:val="67"/>
          <w:marBottom w:val="0"/>
          <w:divBdr>
            <w:top w:val="none" w:sz="0" w:space="0" w:color="auto"/>
            <w:left w:val="none" w:sz="0" w:space="0" w:color="auto"/>
            <w:bottom w:val="none" w:sz="0" w:space="0" w:color="auto"/>
            <w:right w:val="none" w:sz="0" w:space="0" w:color="auto"/>
          </w:divBdr>
        </w:div>
        <w:div w:id="1669677737">
          <w:marLeft w:val="274"/>
          <w:marRight w:val="0"/>
          <w:marTop w:val="67"/>
          <w:marBottom w:val="0"/>
          <w:divBdr>
            <w:top w:val="none" w:sz="0" w:space="0" w:color="auto"/>
            <w:left w:val="none" w:sz="0" w:space="0" w:color="auto"/>
            <w:bottom w:val="none" w:sz="0" w:space="0" w:color="auto"/>
            <w:right w:val="none" w:sz="0" w:space="0" w:color="auto"/>
          </w:divBdr>
        </w:div>
        <w:div w:id="1807702996">
          <w:marLeft w:val="835"/>
          <w:marRight w:val="0"/>
          <w:marTop w:val="58"/>
          <w:marBottom w:val="0"/>
          <w:divBdr>
            <w:top w:val="none" w:sz="0" w:space="0" w:color="auto"/>
            <w:left w:val="none" w:sz="0" w:space="0" w:color="auto"/>
            <w:bottom w:val="none" w:sz="0" w:space="0" w:color="auto"/>
            <w:right w:val="none" w:sz="0" w:space="0" w:color="auto"/>
          </w:divBdr>
        </w:div>
        <w:div w:id="1819685854">
          <w:marLeft w:val="835"/>
          <w:marRight w:val="0"/>
          <w:marTop w:val="53"/>
          <w:marBottom w:val="0"/>
          <w:divBdr>
            <w:top w:val="none" w:sz="0" w:space="0" w:color="auto"/>
            <w:left w:val="none" w:sz="0" w:space="0" w:color="auto"/>
            <w:bottom w:val="none" w:sz="0" w:space="0" w:color="auto"/>
            <w:right w:val="none" w:sz="0" w:space="0" w:color="auto"/>
          </w:divBdr>
        </w:div>
        <w:div w:id="1887639119">
          <w:marLeft w:val="835"/>
          <w:marRight w:val="0"/>
          <w:marTop w:val="53"/>
          <w:marBottom w:val="0"/>
          <w:divBdr>
            <w:top w:val="none" w:sz="0" w:space="0" w:color="auto"/>
            <w:left w:val="none" w:sz="0" w:space="0" w:color="auto"/>
            <w:bottom w:val="none" w:sz="0" w:space="0" w:color="auto"/>
            <w:right w:val="none" w:sz="0" w:space="0" w:color="auto"/>
          </w:divBdr>
        </w:div>
      </w:divsChild>
    </w:div>
    <w:div w:id="1951357074">
      <w:bodyDiv w:val="1"/>
      <w:marLeft w:val="0"/>
      <w:marRight w:val="0"/>
      <w:marTop w:val="0"/>
      <w:marBottom w:val="0"/>
      <w:divBdr>
        <w:top w:val="none" w:sz="0" w:space="0" w:color="auto"/>
        <w:left w:val="none" w:sz="0" w:space="0" w:color="auto"/>
        <w:bottom w:val="none" w:sz="0" w:space="0" w:color="auto"/>
        <w:right w:val="none" w:sz="0" w:space="0" w:color="auto"/>
      </w:divBdr>
      <w:divsChild>
        <w:div w:id="370571522">
          <w:marLeft w:val="274"/>
          <w:marRight w:val="0"/>
          <w:marTop w:val="86"/>
          <w:marBottom w:val="0"/>
          <w:divBdr>
            <w:top w:val="none" w:sz="0" w:space="0" w:color="auto"/>
            <w:left w:val="none" w:sz="0" w:space="0" w:color="auto"/>
            <w:bottom w:val="none" w:sz="0" w:space="0" w:color="auto"/>
            <w:right w:val="none" w:sz="0" w:space="0" w:color="auto"/>
          </w:divBdr>
        </w:div>
        <w:div w:id="505169584">
          <w:marLeft w:val="835"/>
          <w:marRight w:val="0"/>
          <w:marTop w:val="67"/>
          <w:marBottom w:val="0"/>
          <w:divBdr>
            <w:top w:val="none" w:sz="0" w:space="0" w:color="auto"/>
            <w:left w:val="none" w:sz="0" w:space="0" w:color="auto"/>
            <w:bottom w:val="none" w:sz="0" w:space="0" w:color="auto"/>
            <w:right w:val="none" w:sz="0" w:space="0" w:color="auto"/>
          </w:divBdr>
        </w:div>
        <w:div w:id="881139350">
          <w:marLeft w:val="274"/>
          <w:marRight w:val="0"/>
          <w:marTop w:val="86"/>
          <w:marBottom w:val="0"/>
          <w:divBdr>
            <w:top w:val="none" w:sz="0" w:space="0" w:color="auto"/>
            <w:left w:val="none" w:sz="0" w:space="0" w:color="auto"/>
            <w:bottom w:val="none" w:sz="0" w:space="0" w:color="auto"/>
            <w:right w:val="none" w:sz="0" w:space="0" w:color="auto"/>
          </w:divBdr>
        </w:div>
        <w:div w:id="1094086601">
          <w:marLeft w:val="835"/>
          <w:marRight w:val="0"/>
          <w:marTop w:val="67"/>
          <w:marBottom w:val="0"/>
          <w:divBdr>
            <w:top w:val="none" w:sz="0" w:space="0" w:color="auto"/>
            <w:left w:val="none" w:sz="0" w:space="0" w:color="auto"/>
            <w:bottom w:val="none" w:sz="0" w:space="0" w:color="auto"/>
            <w:right w:val="none" w:sz="0" w:space="0" w:color="auto"/>
          </w:divBdr>
        </w:div>
        <w:div w:id="1492478089">
          <w:marLeft w:val="274"/>
          <w:marRight w:val="0"/>
          <w:marTop w:val="86"/>
          <w:marBottom w:val="0"/>
          <w:divBdr>
            <w:top w:val="none" w:sz="0" w:space="0" w:color="auto"/>
            <w:left w:val="none" w:sz="0" w:space="0" w:color="auto"/>
            <w:bottom w:val="none" w:sz="0" w:space="0" w:color="auto"/>
            <w:right w:val="none" w:sz="0" w:space="0" w:color="auto"/>
          </w:divBdr>
        </w:div>
      </w:divsChild>
    </w:div>
    <w:div w:id="1963344987">
      <w:bodyDiv w:val="1"/>
      <w:marLeft w:val="0"/>
      <w:marRight w:val="0"/>
      <w:marTop w:val="0"/>
      <w:marBottom w:val="0"/>
      <w:divBdr>
        <w:top w:val="none" w:sz="0" w:space="0" w:color="auto"/>
        <w:left w:val="none" w:sz="0" w:space="0" w:color="auto"/>
        <w:bottom w:val="none" w:sz="0" w:space="0" w:color="auto"/>
        <w:right w:val="none" w:sz="0" w:space="0" w:color="auto"/>
      </w:divBdr>
    </w:div>
    <w:div w:id="209940156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image" Target="media/image3.wmf"/><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emf"/><Relationship Id="rId10"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7B835-7B56-F642-B4DF-2EEF5CEC0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\Data\SVN\swea\Swea-L23\RAN2_89_Athens\Ericsson Contributions\Ry-xxxxxx Contribution Template.dot</Template>
  <TotalTime>4</TotalTime>
  <Pages>6</Pages>
  <Words>1753</Words>
  <Characters>9996</Characters>
  <Application>Microsoft Macintosh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Mai-Anh Phan</dc:creator>
  <cp:keywords>3GPP; Ericsson; TDoc</cp:keywords>
  <cp:lastModifiedBy>Henrik Enbuske</cp:lastModifiedBy>
  <cp:revision>4</cp:revision>
  <cp:lastPrinted>2008-01-31T07:09:00Z</cp:lastPrinted>
  <dcterms:created xsi:type="dcterms:W3CDTF">2015-04-20T17:30:00Z</dcterms:created>
  <dcterms:modified xsi:type="dcterms:W3CDTF">2015-04-20T17:33:00Z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